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F9DD1" w14:textId="68DBE97C" w:rsidR="005724CE" w:rsidRDefault="00F15790" w:rsidP="00303EF9">
      <w:pPr>
        <w:jc w:val="center"/>
        <w:rPr>
          <w:rFonts w:ascii="黑体" w:eastAsia="黑体" w:hAnsi="黑体"/>
          <w:sz w:val="32"/>
          <w:szCs w:val="32"/>
        </w:rPr>
      </w:pPr>
      <w:r>
        <w:rPr>
          <w:rFonts w:ascii="黑体" w:eastAsia="黑体" w:hAnsi="黑体" w:hint="eastAsia"/>
          <w:sz w:val="32"/>
          <w:szCs w:val="32"/>
          <w:u w:val="single"/>
        </w:rPr>
        <w:t>世界史</w:t>
      </w:r>
      <w:r w:rsidR="005724CE">
        <w:rPr>
          <w:rFonts w:ascii="黑体" w:eastAsia="黑体" w:hAnsi="黑体" w:hint="eastAsia"/>
          <w:sz w:val="32"/>
          <w:szCs w:val="32"/>
        </w:rPr>
        <w:t>硕士</w:t>
      </w:r>
      <w:r w:rsidR="007C1247">
        <w:rPr>
          <w:rFonts w:ascii="黑体" w:eastAsia="黑体" w:hAnsi="黑体" w:hint="eastAsia"/>
          <w:sz w:val="32"/>
          <w:szCs w:val="32"/>
        </w:rPr>
        <w:t>一级学科</w:t>
      </w:r>
      <w:r w:rsidR="00303EF9" w:rsidRPr="00303EF9">
        <w:rPr>
          <w:rFonts w:ascii="黑体" w:eastAsia="黑体" w:hAnsi="黑体" w:hint="eastAsia"/>
          <w:sz w:val="32"/>
          <w:szCs w:val="32"/>
        </w:rPr>
        <w:t>学位授权点建设</w:t>
      </w:r>
      <w:r w:rsidR="004B4B68">
        <w:rPr>
          <w:rFonts w:ascii="黑体" w:eastAsia="黑体" w:hAnsi="黑体" w:hint="eastAsia"/>
          <w:sz w:val="32"/>
          <w:szCs w:val="32"/>
        </w:rPr>
        <w:t>年度</w:t>
      </w:r>
      <w:r w:rsidR="00303EF9" w:rsidRPr="00303EF9">
        <w:rPr>
          <w:rFonts w:ascii="黑体" w:eastAsia="黑体" w:hAnsi="黑体" w:hint="eastAsia"/>
          <w:sz w:val="32"/>
          <w:szCs w:val="32"/>
        </w:rPr>
        <w:t>报告</w:t>
      </w:r>
    </w:p>
    <w:p w14:paraId="21EE32F0" w14:textId="4D60037F" w:rsidR="00303EF9" w:rsidRDefault="00303EF9" w:rsidP="00E3342E">
      <w:pPr>
        <w:jc w:val="center"/>
        <w:rPr>
          <w:rFonts w:ascii="黑体" w:eastAsia="黑体" w:hAnsi="黑体"/>
          <w:sz w:val="32"/>
          <w:szCs w:val="32"/>
        </w:rPr>
      </w:pPr>
      <w:r w:rsidRPr="00303EF9">
        <w:rPr>
          <w:rFonts w:ascii="黑体" w:eastAsia="黑体" w:hAnsi="黑体" w:hint="eastAsia"/>
          <w:sz w:val="32"/>
          <w:szCs w:val="32"/>
        </w:rPr>
        <w:t>（2020年）</w:t>
      </w:r>
    </w:p>
    <w:p w14:paraId="777308A2" w14:textId="77777777" w:rsidR="00E3342E" w:rsidRPr="00E3342E" w:rsidRDefault="00E3342E" w:rsidP="00E3342E">
      <w:pPr>
        <w:jc w:val="center"/>
        <w:rPr>
          <w:rFonts w:ascii="黑体" w:eastAsia="黑体" w:hAnsi="黑体"/>
          <w:sz w:val="32"/>
          <w:szCs w:val="32"/>
        </w:rPr>
      </w:pPr>
    </w:p>
    <w:p w14:paraId="4A24E320" w14:textId="5D3C4825" w:rsidR="00303EF9" w:rsidRPr="00E3342E" w:rsidRDefault="00E3342E" w:rsidP="00D040B5">
      <w:pPr>
        <w:spacing w:line="360" w:lineRule="auto"/>
        <w:ind w:firstLineChars="200" w:firstLine="562"/>
        <w:rPr>
          <w:rFonts w:asciiTheme="minorEastAsia" w:hAnsiTheme="minorEastAsia"/>
          <w:b/>
          <w:sz w:val="28"/>
          <w:szCs w:val="28"/>
        </w:rPr>
      </w:pPr>
      <w:r>
        <w:rPr>
          <w:rFonts w:asciiTheme="minorEastAsia" w:hAnsiTheme="minorEastAsia" w:hint="eastAsia"/>
          <w:b/>
          <w:sz w:val="28"/>
          <w:szCs w:val="28"/>
        </w:rPr>
        <w:t>一、</w:t>
      </w:r>
      <w:r w:rsidR="00303EF9" w:rsidRPr="00E3342E">
        <w:rPr>
          <w:rFonts w:asciiTheme="minorEastAsia" w:hAnsiTheme="minorEastAsia" w:hint="eastAsia"/>
          <w:b/>
          <w:sz w:val="28"/>
          <w:szCs w:val="28"/>
        </w:rPr>
        <w:t>学位授权点基本情况</w:t>
      </w:r>
    </w:p>
    <w:p w14:paraId="1E261C72" w14:textId="371DFAE3" w:rsidR="00E3342E" w:rsidRPr="00E3342E" w:rsidRDefault="00E3342E" w:rsidP="00D040B5">
      <w:pPr>
        <w:spacing w:line="360" w:lineRule="auto"/>
        <w:ind w:firstLineChars="200" w:firstLine="480"/>
        <w:jc w:val="left"/>
        <w:rPr>
          <w:rFonts w:asciiTheme="minorEastAsia" w:hAnsiTheme="minorEastAsia"/>
          <w:sz w:val="24"/>
          <w:szCs w:val="24"/>
        </w:rPr>
      </w:pPr>
      <w:r w:rsidRPr="00E3342E">
        <w:rPr>
          <w:rFonts w:asciiTheme="minorEastAsia" w:hAnsiTheme="minorEastAsia" w:hint="eastAsia"/>
          <w:sz w:val="24"/>
          <w:szCs w:val="24"/>
        </w:rPr>
        <w:t>世界史是山西大学具有深厚文化底蕴的传统学科，建校之初的山西大学西学专斋，就已经开设西洋史等世界史课程。本学科具有优良的学术传统，阎宗临先生的欧洲文化史和</w:t>
      </w:r>
      <w:proofErr w:type="gramStart"/>
      <w:r w:rsidRPr="00E3342E">
        <w:rPr>
          <w:rFonts w:asciiTheme="minorEastAsia" w:hAnsiTheme="minorEastAsia" w:hint="eastAsia"/>
          <w:sz w:val="24"/>
          <w:szCs w:val="24"/>
        </w:rPr>
        <w:t>中西交</w:t>
      </w:r>
      <w:proofErr w:type="gramEnd"/>
      <w:r w:rsidRPr="00E3342E">
        <w:rPr>
          <w:rFonts w:asciiTheme="minorEastAsia" w:hAnsiTheme="minorEastAsia" w:hint="eastAsia"/>
          <w:sz w:val="24"/>
          <w:szCs w:val="24"/>
        </w:rPr>
        <w:t>通史研究、程人乾先生的罗莎卢森堡研究和世界民族主义研究，都是享誉国内、蜚声国际的学术典范。本学科1998年获得硕士学位授予权，2011年成为硕士学位授权一级学科点。</w:t>
      </w:r>
    </w:p>
    <w:p w14:paraId="2E14465C" w14:textId="78B42A72" w:rsidR="00E3342E" w:rsidRPr="00B24893" w:rsidRDefault="00337AC3" w:rsidP="00337AC3">
      <w:pPr>
        <w:spacing w:line="360" w:lineRule="auto"/>
        <w:ind w:firstLineChars="200" w:firstLine="482"/>
        <w:jc w:val="left"/>
        <w:rPr>
          <w:rFonts w:asciiTheme="minorEastAsia" w:hAnsiTheme="minorEastAsia"/>
          <w:b/>
          <w:bCs/>
          <w:sz w:val="24"/>
          <w:szCs w:val="24"/>
        </w:rPr>
      </w:pPr>
      <w:r w:rsidRPr="00B24893">
        <w:rPr>
          <w:rFonts w:asciiTheme="minorEastAsia" w:hAnsiTheme="minorEastAsia" w:hint="eastAsia"/>
          <w:b/>
          <w:bCs/>
          <w:sz w:val="24"/>
          <w:szCs w:val="24"/>
        </w:rPr>
        <w:t>1</w:t>
      </w:r>
      <w:r w:rsidRPr="00B24893">
        <w:rPr>
          <w:rFonts w:asciiTheme="minorEastAsia" w:hAnsiTheme="minorEastAsia"/>
          <w:b/>
          <w:bCs/>
          <w:sz w:val="24"/>
          <w:szCs w:val="24"/>
        </w:rPr>
        <w:t>.</w:t>
      </w:r>
      <w:r w:rsidR="00303EF9" w:rsidRPr="00B24893">
        <w:rPr>
          <w:rFonts w:asciiTheme="minorEastAsia" w:hAnsiTheme="minorEastAsia" w:hint="eastAsia"/>
          <w:b/>
          <w:bCs/>
          <w:sz w:val="24"/>
          <w:szCs w:val="24"/>
        </w:rPr>
        <w:t>培养方向</w:t>
      </w:r>
    </w:p>
    <w:p w14:paraId="6B21173F" w14:textId="3241128A" w:rsidR="00E3342E" w:rsidRPr="00E3342E" w:rsidRDefault="00E3342E" w:rsidP="00D040B5">
      <w:pPr>
        <w:spacing w:line="360" w:lineRule="auto"/>
        <w:ind w:firstLineChars="200" w:firstLine="480"/>
        <w:jc w:val="left"/>
        <w:rPr>
          <w:rFonts w:asciiTheme="minorEastAsia" w:hAnsiTheme="minorEastAsia"/>
          <w:sz w:val="24"/>
          <w:szCs w:val="24"/>
        </w:rPr>
      </w:pPr>
      <w:r w:rsidRPr="00E3342E">
        <w:rPr>
          <w:rFonts w:asciiTheme="minorEastAsia" w:hAnsiTheme="minorEastAsia" w:hint="eastAsia"/>
          <w:sz w:val="24"/>
          <w:szCs w:val="24"/>
        </w:rPr>
        <w:t>根据学科传统和现有师资力量，世界史学科重点凝练以下</w:t>
      </w:r>
      <w:r w:rsidR="00B24893">
        <w:rPr>
          <w:rFonts w:asciiTheme="minorEastAsia" w:hAnsiTheme="minorEastAsia" w:hint="eastAsia"/>
          <w:sz w:val="24"/>
          <w:szCs w:val="24"/>
        </w:rPr>
        <w:t>三</w:t>
      </w:r>
      <w:r w:rsidRPr="00E3342E">
        <w:rPr>
          <w:rFonts w:asciiTheme="minorEastAsia" w:hAnsiTheme="minorEastAsia" w:hint="eastAsia"/>
          <w:sz w:val="24"/>
          <w:szCs w:val="24"/>
        </w:rPr>
        <w:t>个学科方向：</w:t>
      </w:r>
    </w:p>
    <w:p w14:paraId="3AEB3043" w14:textId="6C1BEC59" w:rsidR="00E3342E" w:rsidRPr="00E3342E" w:rsidRDefault="00E3342E" w:rsidP="00D040B5">
      <w:pPr>
        <w:spacing w:line="360" w:lineRule="auto"/>
        <w:ind w:firstLineChars="200" w:firstLine="480"/>
        <w:jc w:val="left"/>
        <w:rPr>
          <w:rFonts w:asciiTheme="minorEastAsia" w:hAnsiTheme="minorEastAsia"/>
          <w:sz w:val="24"/>
          <w:szCs w:val="24"/>
        </w:rPr>
      </w:pPr>
      <w:r w:rsidRPr="00E3342E">
        <w:rPr>
          <w:rFonts w:asciiTheme="minorEastAsia" w:hAnsiTheme="minorEastAsia" w:hint="eastAsia"/>
          <w:sz w:val="24"/>
          <w:szCs w:val="24"/>
        </w:rPr>
        <w:t>（1）国际关系史：</w:t>
      </w:r>
      <w:proofErr w:type="gramStart"/>
      <w:r w:rsidRPr="00E3342E">
        <w:rPr>
          <w:rFonts w:asciiTheme="minorEastAsia" w:hAnsiTheme="minorEastAsia" w:hint="eastAsia"/>
          <w:sz w:val="24"/>
          <w:szCs w:val="24"/>
        </w:rPr>
        <w:t>本方向</w:t>
      </w:r>
      <w:proofErr w:type="gramEnd"/>
      <w:r w:rsidRPr="00E3342E">
        <w:rPr>
          <w:rFonts w:asciiTheme="minorEastAsia" w:hAnsiTheme="minorEastAsia" w:hint="eastAsia"/>
          <w:sz w:val="24"/>
          <w:szCs w:val="24"/>
        </w:rPr>
        <w:t>旨在研究人类进入20世纪以来各国之间在政治、经济、军事、文化、意识形态等相互关系的发展历史，以国际冷战史的研究为主要特色。重点探讨中国在国际舞台上重新崛起的历史、中国在解决重大国际问题和构建国际新秩序等方面的作用。</w:t>
      </w:r>
    </w:p>
    <w:p w14:paraId="0A1F1F60" w14:textId="1B1FDF7A" w:rsidR="00E3342E" w:rsidRPr="00E3342E" w:rsidRDefault="00E3342E" w:rsidP="00D040B5">
      <w:pPr>
        <w:spacing w:line="360" w:lineRule="auto"/>
        <w:ind w:firstLineChars="200" w:firstLine="480"/>
        <w:jc w:val="left"/>
        <w:rPr>
          <w:rFonts w:asciiTheme="minorEastAsia" w:hAnsiTheme="minorEastAsia"/>
          <w:sz w:val="24"/>
          <w:szCs w:val="24"/>
        </w:rPr>
      </w:pPr>
      <w:r w:rsidRPr="00E3342E">
        <w:rPr>
          <w:rFonts w:asciiTheme="minorEastAsia" w:hAnsiTheme="minorEastAsia" w:hint="eastAsia"/>
          <w:sz w:val="24"/>
          <w:szCs w:val="24"/>
        </w:rPr>
        <w:t>（2）世界近现代史</w:t>
      </w:r>
      <w:r>
        <w:rPr>
          <w:rFonts w:asciiTheme="minorEastAsia" w:hAnsiTheme="minorEastAsia" w:hint="eastAsia"/>
          <w:sz w:val="24"/>
          <w:szCs w:val="24"/>
        </w:rPr>
        <w:t>：</w:t>
      </w:r>
      <w:proofErr w:type="gramStart"/>
      <w:r w:rsidRPr="00E3342E">
        <w:rPr>
          <w:rFonts w:asciiTheme="minorEastAsia" w:hAnsiTheme="minorEastAsia" w:hint="eastAsia"/>
          <w:sz w:val="24"/>
          <w:szCs w:val="24"/>
        </w:rPr>
        <w:t>本方向主要考察自</w:t>
      </w:r>
      <w:proofErr w:type="gramEnd"/>
      <w:r w:rsidRPr="00E3342E">
        <w:rPr>
          <w:rFonts w:asciiTheme="minorEastAsia" w:hAnsiTheme="minorEastAsia" w:hint="eastAsia"/>
          <w:sz w:val="24"/>
          <w:szCs w:val="24"/>
        </w:rPr>
        <w:t>15、16世纪以来世界各地区、各民族的历史，揭示历史的纵向发展与横向联系，勾勒整个世界日益联系成为一个息息相关的整体和人类历史走向全球化的进程。重点研究亚洲区域国家社会政治经济结构的变迁，特别是日本近代化和印度现代化的研究。</w:t>
      </w:r>
    </w:p>
    <w:p w14:paraId="7964F017" w14:textId="45A20F66" w:rsidR="00E3342E" w:rsidRPr="00E3342E" w:rsidRDefault="00E3342E" w:rsidP="00D040B5">
      <w:pPr>
        <w:spacing w:line="360" w:lineRule="auto"/>
        <w:ind w:firstLineChars="200" w:firstLine="480"/>
        <w:jc w:val="left"/>
        <w:rPr>
          <w:rFonts w:asciiTheme="minorEastAsia" w:hAnsiTheme="minorEastAsia"/>
          <w:sz w:val="24"/>
          <w:szCs w:val="24"/>
        </w:rPr>
      </w:pPr>
      <w:r w:rsidRPr="00E3342E">
        <w:rPr>
          <w:rFonts w:asciiTheme="minorEastAsia" w:hAnsiTheme="minorEastAsia" w:hint="eastAsia"/>
          <w:sz w:val="24"/>
          <w:szCs w:val="24"/>
        </w:rPr>
        <w:t>（3）世界古代史</w:t>
      </w:r>
      <w:r>
        <w:rPr>
          <w:rFonts w:asciiTheme="minorEastAsia" w:hAnsiTheme="minorEastAsia" w:hint="eastAsia"/>
          <w:sz w:val="24"/>
          <w:szCs w:val="24"/>
        </w:rPr>
        <w:t>：</w:t>
      </w:r>
      <w:proofErr w:type="gramStart"/>
      <w:r w:rsidRPr="00E3342E">
        <w:rPr>
          <w:rFonts w:asciiTheme="minorEastAsia" w:hAnsiTheme="minorEastAsia" w:hint="eastAsia"/>
          <w:sz w:val="24"/>
          <w:szCs w:val="24"/>
        </w:rPr>
        <w:t>本方向</w:t>
      </w:r>
      <w:proofErr w:type="gramEnd"/>
      <w:r w:rsidRPr="00E3342E">
        <w:rPr>
          <w:rFonts w:asciiTheme="minorEastAsia" w:hAnsiTheme="minorEastAsia" w:hint="eastAsia"/>
          <w:sz w:val="24"/>
          <w:szCs w:val="24"/>
        </w:rPr>
        <w:t>旨在研究1500年前的世界历史，以亚欧大陆为中心，以游牧世界和农耕世界的交往、碰撞、冲突为线索，综合考察人类历史演变的规律和趋向。重点研究该时期地中海世界的宗教文明、政治文明及文化交流研究，展现该区域内各文明相互交流、融合及相互影响的生动画面。</w:t>
      </w:r>
    </w:p>
    <w:p w14:paraId="0FDD6D75" w14:textId="48982DBE" w:rsidR="00D040B5" w:rsidRPr="00B24893" w:rsidRDefault="00D040B5" w:rsidP="00D040B5">
      <w:pPr>
        <w:spacing w:line="360" w:lineRule="auto"/>
        <w:ind w:left="560"/>
        <w:jc w:val="left"/>
        <w:rPr>
          <w:rFonts w:asciiTheme="minorEastAsia" w:hAnsiTheme="minorEastAsia"/>
          <w:b/>
          <w:bCs/>
          <w:sz w:val="24"/>
          <w:szCs w:val="24"/>
        </w:rPr>
      </w:pPr>
      <w:r w:rsidRPr="00B24893">
        <w:rPr>
          <w:rFonts w:asciiTheme="minorEastAsia" w:hAnsiTheme="minorEastAsia" w:hint="eastAsia"/>
          <w:b/>
          <w:bCs/>
          <w:sz w:val="24"/>
          <w:szCs w:val="24"/>
        </w:rPr>
        <w:t>2</w:t>
      </w:r>
      <w:r w:rsidRPr="00B24893">
        <w:rPr>
          <w:rFonts w:asciiTheme="minorEastAsia" w:hAnsiTheme="minorEastAsia"/>
          <w:b/>
          <w:bCs/>
          <w:sz w:val="24"/>
          <w:szCs w:val="24"/>
        </w:rPr>
        <w:t>.</w:t>
      </w:r>
      <w:r w:rsidR="00303EF9" w:rsidRPr="00B24893">
        <w:rPr>
          <w:rFonts w:asciiTheme="minorEastAsia" w:hAnsiTheme="minorEastAsia" w:hint="eastAsia"/>
          <w:b/>
          <w:bCs/>
          <w:sz w:val="24"/>
          <w:szCs w:val="24"/>
        </w:rPr>
        <w:t>师资队伍</w:t>
      </w:r>
    </w:p>
    <w:p w14:paraId="7FD9775F" w14:textId="63B42325" w:rsidR="00D040B5" w:rsidRDefault="00D040B5" w:rsidP="00567715">
      <w:pPr>
        <w:spacing w:line="360" w:lineRule="auto"/>
        <w:ind w:firstLineChars="200" w:firstLine="480"/>
        <w:jc w:val="left"/>
        <w:rPr>
          <w:rFonts w:asciiTheme="minorEastAsia" w:hAnsiTheme="minorEastAsia"/>
          <w:sz w:val="24"/>
          <w:szCs w:val="24"/>
        </w:rPr>
      </w:pPr>
      <w:r w:rsidRPr="00D040B5">
        <w:rPr>
          <w:rFonts w:asciiTheme="minorEastAsia" w:hAnsiTheme="minorEastAsia"/>
          <w:sz w:val="24"/>
          <w:szCs w:val="24"/>
        </w:rPr>
        <w:t>目前，</w:t>
      </w:r>
      <w:r w:rsidRPr="00D040B5">
        <w:rPr>
          <w:rFonts w:asciiTheme="minorEastAsia" w:hAnsiTheme="minorEastAsia" w:hint="eastAsia"/>
          <w:sz w:val="24"/>
          <w:szCs w:val="24"/>
        </w:rPr>
        <w:t>本学位点</w:t>
      </w:r>
      <w:r w:rsidRPr="00D040B5">
        <w:rPr>
          <w:rFonts w:asciiTheme="minorEastAsia" w:hAnsiTheme="minorEastAsia"/>
          <w:sz w:val="24"/>
          <w:szCs w:val="24"/>
        </w:rPr>
        <w:t>共有教师12人，所有教师全部获得博士学位。</w:t>
      </w:r>
      <w:r w:rsidRPr="00D040B5">
        <w:rPr>
          <w:rFonts w:asciiTheme="minorEastAsia" w:hAnsiTheme="minorEastAsia" w:hint="eastAsia"/>
          <w:sz w:val="24"/>
          <w:szCs w:val="24"/>
        </w:rPr>
        <w:t>其中教授2人</w:t>
      </w:r>
      <w:r w:rsidRPr="00D040B5">
        <w:rPr>
          <w:rFonts w:asciiTheme="minorEastAsia" w:hAnsiTheme="minorEastAsia"/>
          <w:sz w:val="24"/>
          <w:szCs w:val="24"/>
        </w:rPr>
        <w:t>，副教授</w:t>
      </w:r>
      <w:r>
        <w:rPr>
          <w:rFonts w:asciiTheme="minorEastAsia" w:hAnsiTheme="minorEastAsia"/>
          <w:sz w:val="24"/>
          <w:szCs w:val="24"/>
        </w:rPr>
        <w:t>3</w:t>
      </w:r>
      <w:r w:rsidRPr="00D040B5">
        <w:rPr>
          <w:rFonts w:asciiTheme="minorEastAsia" w:hAnsiTheme="minorEastAsia" w:hint="eastAsia"/>
          <w:sz w:val="24"/>
          <w:szCs w:val="24"/>
        </w:rPr>
        <w:t>人</w:t>
      </w:r>
      <w:r w:rsidRPr="00D040B5">
        <w:rPr>
          <w:rFonts w:asciiTheme="minorEastAsia" w:hAnsiTheme="minorEastAsia"/>
          <w:sz w:val="24"/>
          <w:szCs w:val="24"/>
        </w:rPr>
        <w:t>，讲师</w:t>
      </w:r>
      <w:r>
        <w:rPr>
          <w:rFonts w:asciiTheme="minorEastAsia" w:hAnsiTheme="minorEastAsia"/>
          <w:sz w:val="24"/>
          <w:szCs w:val="24"/>
        </w:rPr>
        <w:t>7</w:t>
      </w:r>
      <w:r>
        <w:rPr>
          <w:rFonts w:asciiTheme="minorEastAsia" w:hAnsiTheme="minorEastAsia" w:hint="eastAsia"/>
          <w:sz w:val="24"/>
          <w:szCs w:val="24"/>
        </w:rPr>
        <w:t>人</w:t>
      </w:r>
      <w:r w:rsidRPr="00D040B5">
        <w:rPr>
          <w:rFonts w:asciiTheme="minorEastAsia" w:hAnsiTheme="minorEastAsia"/>
          <w:sz w:val="24"/>
          <w:szCs w:val="24"/>
        </w:rPr>
        <w:t>，</w:t>
      </w:r>
      <w:r w:rsidRPr="00D040B5">
        <w:rPr>
          <w:rFonts w:asciiTheme="minorEastAsia" w:hAnsiTheme="minorEastAsia" w:hint="eastAsia"/>
          <w:sz w:val="24"/>
          <w:szCs w:val="24"/>
        </w:rPr>
        <w:t>是</w:t>
      </w:r>
      <w:r w:rsidRPr="00D040B5">
        <w:rPr>
          <w:rFonts w:asciiTheme="minorEastAsia" w:hAnsiTheme="minorEastAsia"/>
          <w:sz w:val="24"/>
          <w:szCs w:val="24"/>
        </w:rPr>
        <w:t>一支</w:t>
      </w:r>
      <w:r w:rsidRPr="00D040B5">
        <w:rPr>
          <w:rFonts w:asciiTheme="minorEastAsia" w:hAnsiTheme="minorEastAsia" w:hint="eastAsia"/>
          <w:sz w:val="24"/>
          <w:szCs w:val="24"/>
        </w:rPr>
        <w:t>年龄、职称、学</w:t>
      </w:r>
      <w:proofErr w:type="gramStart"/>
      <w:r w:rsidRPr="00D040B5">
        <w:rPr>
          <w:rFonts w:asciiTheme="minorEastAsia" w:hAnsiTheme="minorEastAsia" w:hint="eastAsia"/>
          <w:sz w:val="24"/>
          <w:szCs w:val="24"/>
        </w:rPr>
        <w:t>缘结构</w:t>
      </w:r>
      <w:proofErr w:type="gramEnd"/>
      <w:r w:rsidRPr="00D040B5">
        <w:rPr>
          <w:rFonts w:asciiTheme="minorEastAsia" w:hAnsiTheme="minorEastAsia" w:hint="eastAsia"/>
          <w:sz w:val="24"/>
          <w:szCs w:val="24"/>
        </w:rPr>
        <w:t>合理，富于活力、勇于创新的教学</w:t>
      </w:r>
      <w:r w:rsidRPr="00D040B5">
        <w:rPr>
          <w:rFonts w:asciiTheme="minorEastAsia" w:hAnsiTheme="minorEastAsia"/>
          <w:sz w:val="24"/>
          <w:szCs w:val="24"/>
        </w:rPr>
        <w:t>科研</w:t>
      </w:r>
      <w:r w:rsidRPr="00D040B5">
        <w:rPr>
          <w:rFonts w:asciiTheme="minorEastAsia" w:hAnsiTheme="minorEastAsia" w:hint="eastAsia"/>
          <w:sz w:val="24"/>
          <w:szCs w:val="24"/>
        </w:rPr>
        <w:t>团队。</w:t>
      </w:r>
    </w:p>
    <w:p w14:paraId="06D5E4E1" w14:textId="77777777" w:rsidR="004405CD" w:rsidRDefault="004405CD" w:rsidP="004405CD">
      <w:pPr>
        <w:spacing w:line="360" w:lineRule="auto"/>
        <w:jc w:val="left"/>
        <w:rPr>
          <w:rFonts w:asciiTheme="minorEastAsia" w:hAnsiTheme="minorEastAsia"/>
          <w:sz w:val="24"/>
          <w:szCs w:val="24"/>
        </w:rPr>
      </w:pPr>
    </w:p>
    <w:tbl>
      <w:tblPr>
        <w:tblStyle w:val="a6"/>
        <w:tblW w:w="8921" w:type="dxa"/>
        <w:tblLook w:val="04A0" w:firstRow="1" w:lastRow="0" w:firstColumn="1" w:lastColumn="0" w:noHBand="0" w:noVBand="1"/>
      </w:tblPr>
      <w:tblGrid>
        <w:gridCol w:w="959"/>
        <w:gridCol w:w="709"/>
        <w:gridCol w:w="992"/>
        <w:gridCol w:w="850"/>
        <w:gridCol w:w="851"/>
        <w:gridCol w:w="850"/>
        <w:gridCol w:w="993"/>
        <w:gridCol w:w="992"/>
        <w:gridCol w:w="850"/>
        <w:gridCol w:w="851"/>
        <w:gridCol w:w="24"/>
      </w:tblGrid>
      <w:tr w:rsidR="004405CD" w14:paraId="26C87087" w14:textId="77777777" w:rsidTr="004405CD">
        <w:trPr>
          <w:trHeight w:val="358"/>
        </w:trPr>
        <w:tc>
          <w:tcPr>
            <w:tcW w:w="8921" w:type="dxa"/>
            <w:gridSpan w:val="11"/>
          </w:tcPr>
          <w:p w14:paraId="1A396445" w14:textId="77777777" w:rsidR="004405CD" w:rsidRDefault="004405CD" w:rsidP="00B94453">
            <w:pPr>
              <w:ind w:firstLine="482"/>
              <w:jc w:val="center"/>
              <w:rPr>
                <w:rFonts w:ascii="宋体" w:hAnsi="宋体" w:cs="宋体"/>
                <w:b/>
                <w:sz w:val="24"/>
                <w:szCs w:val="24"/>
              </w:rPr>
            </w:pPr>
            <w:r>
              <w:rPr>
                <w:rFonts w:ascii="宋体" w:hAnsi="宋体" w:cs="宋体" w:hint="eastAsia"/>
                <w:b/>
                <w:sz w:val="24"/>
                <w:szCs w:val="24"/>
              </w:rPr>
              <w:lastRenderedPageBreak/>
              <w:t>专任教师队伍结构</w:t>
            </w:r>
          </w:p>
        </w:tc>
      </w:tr>
      <w:tr w:rsidR="004405CD" w14:paraId="6AE4AFD8" w14:textId="77777777" w:rsidTr="002870A2">
        <w:trPr>
          <w:gridAfter w:val="1"/>
          <w:wAfter w:w="24" w:type="dxa"/>
          <w:trHeight w:val="1457"/>
        </w:trPr>
        <w:tc>
          <w:tcPr>
            <w:tcW w:w="959" w:type="dxa"/>
            <w:vAlign w:val="center"/>
          </w:tcPr>
          <w:p w14:paraId="7291AD21" w14:textId="77777777" w:rsidR="004405CD" w:rsidRPr="002E6976" w:rsidRDefault="004405CD" w:rsidP="002E6976">
            <w:pPr>
              <w:adjustRightInd w:val="0"/>
              <w:snapToGrid w:val="0"/>
              <w:jc w:val="center"/>
              <w:rPr>
                <w:rFonts w:ascii="宋体" w:hAnsi="宋体" w:cs="宋体"/>
                <w:b/>
                <w:sz w:val="24"/>
                <w:szCs w:val="24"/>
              </w:rPr>
            </w:pPr>
            <w:r w:rsidRPr="002E6976">
              <w:rPr>
                <w:rFonts w:ascii="宋体" w:hAnsi="宋体" w:cs="宋体" w:hint="eastAsia"/>
                <w:b/>
                <w:sz w:val="24"/>
                <w:szCs w:val="24"/>
              </w:rPr>
              <w:t>专业技术职务</w:t>
            </w:r>
          </w:p>
        </w:tc>
        <w:tc>
          <w:tcPr>
            <w:tcW w:w="709" w:type="dxa"/>
            <w:vAlign w:val="center"/>
          </w:tcPr>
          <w:p w14:paraId="59ABACC5" w14:textId="77777777" w:rsidR="004405CD" w:rsidRPr="002E6976" w:rsidRDefault="004405CD" w:rsidP="002E6976">
            <w:pPr>
              <w:widowControl/>
              <w:adjustRightInd w:val="0"/>
              <w:snapToGrid w:val="0"/>
              <w:jc w:val="center"/>
              <w:rPr>
                <w:rFonts w:ascii="宋体" w:hAnsi="宋体" w:cs="宋体"/>
                <w:b/>
                <w:sz w:val="24"/>
                <w:szCs w:val="24"/>
              </w:rPr>
            </w:pPr>
            <w:r w:rsidRPr="002E6976">
              <w:rPr>
                <w:rFonts w:ascii="宋体" w:hAnsi="宋体" w:cs="宋体" w:hint="eastAsia"/>
                <w:b/>
                <w:sz w:val="24"/>
                <w:szCs w:val="24"/>
              </w:rPr>
              <w:t>合计</w:t>
            </w:r>
          </w:p>
        </w:tc>
        <w:tc>
          <w:tcPr>
            <w:tcW w:w="992" w:type="dxa"/>
            <w:vAlign w:val="center"/>
          </w:tcPr>
          <w:p w14:paraId="3DA0339C" w14:textId="4877EC75" w:rsidR="004405CD" w:rsidRPr="002E6976" w:rsidRDefault="004405CD" w:rsidP="002E6976">
            <w:pPr>
              <w:widowControl/>
              <w:adjustRightInd w:val="0"/>
              <w:snapToGrid w:val="0"/>
              <w:jc w:val="center"/>
              <w:rPr>
                <w:rFonts w:ascii="宋体" w:hAnsi="宋体" w:cs="宋体"/>
                <w:b/>
                <w:sz w:val="24"/>
                <w:szCs w:val="24"/>
              </w:rPr>
            </w:pPr>
            <w:r w:rsidRPr="002E6976">
              <w:rPr>
                <w:rFonts w:ascii="宋体" w:hAnsi="宋体" w:cs="宋体" w:hint="eastAsia"/>
                <w:b/>
                <w:sz w:val="24"/>
                <w:szCs w:val="24"/>
              </w:rPr>
              <w:t>35岁及以下</w:t>
            </w:r>
          </w:p>
        </w:tc>
        <w:tc>
          <w:tcPr>
            <w:tcW w:w="850" w:type="dxa"/>
            <w:vAlign w:val="center"/>
          </w:tcPr>
          <w:p w14:paraId="0B2CA919" w14:textId="3BB716A0" w:rsidR="004405CD" w:rsidRPr="002E6976" w:rsidRDefault="004405CD" w:rsidP="002E6976">
            <w:pPr>
              <w:widowControl/>
              <w:adjustRightInd w:val="0"/>
              <w:snapToGrid w:val="0"/>
              <w:jc w:val="center"/>
              <w:rPr>
                <w:rFonts w:ascii="宋体" w:hAnsi="宋体" w:cs="宋体"/>
                <w:b/>
                <w:sz w:val="24"/>
                <w:szCs w:val="24"/>
              </w:rPr>
            </w:pPr>
            <w:r w:rsidRPr="002E6976">
              <w:rPr>
                <w:rFonts w:ascii="宋体" w:hAnsi="宋体" w:cs="宋体" w:hint="eastAsia"/>
                <w:b/>
                <w:sz w:val="24"/>
                <w:szCs w:val="24"/>
              </w:rPr>
              <w:t>36至45岁</w:t>
            </w:r>
          </w:p>
        </w:tc>
        <w:tc>
          <w:tcPr>
            <w:tcW w:w="851" w:type="dxa"/>
            <w:vAlign w:val="center"/>
          </w:tcPr>
          <w:p w14:paraId="34A4343B" w14:textId="79EBD4F5" w:rsidR="004405CD" w:rsidRPr="002E6976" w:rsidRDefault="004405CD" w:rsidP="002E6976">
            <w:pPr>
              <w:widowControl/>
              <w:adjustRightInd w:val="0"/>
              <w:snapToGrid w:val="0"/>
              <w:jc w:val="center"/>
              <w:rPr>
                <w:rFonts w:ascii="宋体" w:hAnsi="宋体" w:cs="宋体"/>
                <w:b/>
                <w:sz w:val="24"/>
                <w:szCs w:val="24"/>
              </w:rPr>
            </w:pPr>
            <w:r w:rsidRPr="002E6976">
              <w:rPr>
                <w:rFonts w:ascii="宋体" w:hAnsi="宋体" w:cs="宋体" w:hint="eastAsia"/>
                <w:b/>
                <w:sz w:val="24"/>
                <w:szCs w:val="24"/>
              </w:rPr>
              <w:t>46至55岁</w:t>
            </w:r>
          </w:p>
        </w:tc>
        <w:tc>
          <w:tcPr>
            <w:tcW w:w="850" w:type="dxa"/>
            <w:vAlign w:val="center"/>
          </w:tcPr>
          <w:p w14:paraId="014B2140" w14:textId="6755BD3A" w:rsidR="004405CD" w:rsidRPr="002E6976" w:rsidRDefault="004405CD" w:rsidP="002E6976">
            <w:pPr>
              <w:widowControl/>
              <w:adjustRightInd w:val="0"/>
              <w:snapToGrid w:val="0"/>
              <w:jc w:val="center"/>
              <w:rPr>
                <w:rFonts w:ascii="宋体" w:hAnsi="宋体" w:cs="宋体"/>
                <w:b/>
                <w:sz w:val="24"/>
                <w:szCs w:val="24"/>
              </w:rPr>
            </w:pPr>
            <w:r w:rsidRPr="002E6976">
              <w:rPr>
                <w:rFonts w:ascii="宋体" w:hAnsi="宋体" w:cs="宋体" w:hint="eastAsia"/>
                <w:b/>
                <w:sz w:val="24"/>
                <w:szCs w:val="24"/>
              </w:rPr>
              <w:t>56至60岁</w:t>
            </w:r>
          </w:p>
        </w:tc>
        <w:tc>
          <w:tcPr>
            <w:tcW w:w="993" w:type="dxa"/>
            <w:vAlign w:val="center"/>
          </w:tcPr>
          <w:p w14:paraId="2691B218" w14:textId="77777777" w:rsidR="004405CD" w:rsidRPr="002E6976" w:rsidRDefault="004405CD" w:rsidP="002E6976">
            <w:pPr>
              <w:jc w:val="center"/>
              <w:rPr>
                <w:rFonts w:ascii="宋体" w:hAnsi="宋体" w:cs="宋体"/>
                <w:b/>
                <w:sz w:val="24"/>
                <w:szCs w:val="24"/>
              </w:rPr>
            </w:pPr>
            <w:r w:rsidRPr="002E6976">
              <w:rPr>
                <w:rFonts w:ascii="宋体" w:hAnsi="宋体" w:cs="宋体" w:hint="eastAsia"/>
                <w:b/>
                <w:sz w:val="24"/>
                <w:szCs w:val="24"/>
              </w:rPr>
              <w:t>博士学位人数</w:t>
            </w:r>
          </w:p>
        </w:tc>
        <w:tc>
          <w:tcPr>
            <w:tcW w:w="992" w:type="dxa"/>
            <w:vAlign w:val="center"/>
          </w:tcPr>
          <w:p w14:paraId="3E6A0A93" w14:textId="77777777" w:rsidR="004405CD" w:rsidRPr="002E6976" w:rsidRDefault="004405CD" w:rsidP="002E6976">
            <w:pPr>
              <w:jc w:val="center"/>
              <w:rPr>
                <w:rFonts w:ascii="宋体" w:hAnsi="宋体" w:cs="宋体"/>
                <w:b/>
                <w:sz w:val="24"/>
                <w:szCs w:val="24"/>
              </w:rPr>
            </w:pPr>
            <w:r w:rsidRPr="002E6976">
              <w:rPr>
                <w:rFonts w:ascii="宋体" w:hAnsi="宋体" w:cs="宋体" w:hint="eastAsia"/>
                <w:b/>
                <w:sz w:val="24"/>
                <w:szCs w:val="24"/>
              </w:rPr>
              <w:t>具有境外经历人数</w:t>
            </w:r>
          </w:p>
        </w:tc>
        <w:tc>
          <w:tcPr>
            <w:tcW w:w="850" w:type="dxa"/>
            <w:vAlign w:val="center"/>
          </w:tcPr>
          <w:p w14:paraId="65E84664" w14:textId="19ED698D" w:rsidR="004405CD" w:rsidRPr="002E6976" w:rsidRDefault="004405CD" w:rsidP="002E6976">
            <w:pPr>
              <w:widowControl/>
              <w:adjustRightInd w:val="0"/>
              <w:snapToGrid w:val="0"/>
              <w:jc w:val="center"/>
              <w:rPr>
                <w:rFonts w:ascii="宋体" w:hAnsi="宋体" w:cs="宋体"/>
                <w:b/>
                <w:sz w:val="24"/>
                <w:szCs w:val="24"/>
              </w:rPr>
            </w:pPr>
            <w:r w:rsidRPr="002E6976">
              <w:rPr>
                <w:rFonts w:ascii="宋体" w:hAnsi="宋体" w:cs="宋体" w:hint="eastAsia"/>
                <w:b/>
                <w:sz w:val="24"/>
                <w:szCs w:val="24"/>
              </w:rPr>
              <w:t>博</w:t>
            </w:r>
            <w:proofErr w:type="gramStart"/>
            <w:r w:rsidRPr="002E6976">
              <w:rPr>
                <w:rFonts w:ascii="宋体" w:hAnsi="宋体" w:cs="宋体" w:hint="eastAsia"/>
                <w:b/>
                <w:sz w:val="24"/>
                <w:szCs w:val="24"/>
              </w:rPr>
              <w:t>导人数</w:t>
            </w:r>
            <w:proofErr w:type="gramEnd"/>
          </w:p>
        </w:tc>
        <w:tc>
          <w:tcPr>
            <w:tcW w:w="851" w:type="dxa"/>
            <w:vAlign w:val="center"/>
          </w:tcPr>
          <w:p w14:paraId="51093FE2" w14:textId="4ADCAD6C" w:rsidR="004405CD" w:rsidRPr="002E6976" w:rsidRDefault="004405CD" w:rsidP="002E6976">
            <w:pPr>
              <w:widowControl/>
              <w:adjustRightInd w:val="0"/>
              <w:snapToGrid w:val="0"/>
              <w:jc w:val="center"/>
              <w:rPr>
                <w:rFonts w:ascii="宋体" w:hAnsi="宋体" w:cs="宋体"/>
                <w:b/>
                <w:sz w:val="24"/>
                <w:szCs w:val="24"/>
              </w:rPr>
            </w:pPr>
            <w:proofErr w:type="gramStart"/>
            <w:r w:rsidRPr="002E6976">
              <w:rPr>
                <w:rFonts w:ascii="宋体" w:hAnsi="宋体" w:cs="宋体" w:hint="eastAsia"/>
                <w:b/>
                <w:sz w:val="24"/>
                <w:szCs w:val="24"/>
              </w:rPr>
              <w:t>硕导人数</w:t>
            </w:r>
            <w:proofErr w:type="gramEnd"/>
          </w:p>
        </w:tc>
      </w:tr>
      <w:tr w:rsidR="004405CD" w14:paraId="2CA41598" w14:textId="77777777" w:rsidTr="002870A2">
        <w:trPr>
          <w:gridAfter w:val="1"/>
          <w:wAfter w:w="24" w:type="dxa"/>
          <w:trHeight w:val="588"/>
        </w:trPr>
        <w:tc>
          <w:tcPr>
            <w:tcW w:w="959" w:type="dxa"/>
            <w:vAlign w:val="center"/>
          </w:tcPr>
          <w:p w14:paraId="623ADD24" w14:textId="77777777" w:rsidR="004405CD" w:rsidRPr="002E6976" w:rsidRDefault="004405CD" w:rsidP="002E6976">
            <w:pPr>
              <w:widowControl/>
              <w:adjustRightInd w:val="0"/>
              <w:snapToGrid w:val="0"/>
              <w:jc w:val="center"/>
              <w:rPr>
                <w:rFonts w:ascii="宋体" w:hAnsi="宋体" w:cs="宋体"/>
                <w:b/>
                <w:sz w:val="24"/>
                <w:szCs w:val="24"/>
              </w:rPr>
            </w:pPr>
            <w:r w:rsidRPr="002E6976">
              <w:rPr>
                <w:rFonts w:ascii="宋体" w:hAnsi="宋体" w:cs="宋体" w:hint="eastAsia"/>
                <w:b/>
                <w:sz w:val="24"/>
                <w:szCs w:val="24"/>
              </w:rPr>
              <w:t>正高级</w:t>
            </w:r>
          </w:p>
        </w:tc>
        <w:tc>
          <w:tcPr>
            <w:tcW w:w="709" w:type="dxa"/>
            <w:vAlign w:val="center"/>
          </w:tcPr>
          <w:p w14:paraId="074288AC" w14:textId="675F453C" w:rsidR="004405CD" w:rsidRDefault="002E6976" w:rsidP="002870A2">
            <w:pPr>
              <w:widowControl/>
              <w:adjustRightInd w:val="0"/>
              <w:snapToGrid w:val="0"/>
              <w:jc w:val="center"/>
              <w:rPr>
                <w:rFonts w:ascii="宋体" w:hAnsi="宋体" w:cs="宋体"/>
                <w:bCs/>
                <w:sz w:val="24"/>
                <w:szCs w:val="24"/>
              </w:rPr>
            </w:pPr>
            <w:r>
              <w:rPr>
                <w:rFonts w:ascii="宋体" w:hAnsi="宋体" w:cs="宋体" w:hint="eastAsia"/>
                <w:bCs/>
                <w:sz w:val="24"/>
                <w:szCs w:val="24"/>
              </w:rPr>
              <w:t>2</w:t>
            </w:r>
          </w:p>
        </w:tc>
        <w:tc>
          <w:tcPr>
            <w:tcW w:w="992" w:type="dxa"/>
            <w:vAlign w:val="center"/>
          </w:tcPr>
          <w:p w14:paraId="1E81D2C1" w14:textId="7A1EF5F7" w:rsidR="004405CD" w:rsidRDefault="004405CD"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0</w:t>
            </w:r>
          </w:p>
        </w:tc>
        <w:tc>
          <w:tcPr>
            <w:tcW w:w="850" w:type="dxa"/>
            <w:vAlign w:val="center"/>
          </w:tcPr>
          <w:p w14:paraId="757EE64A" w14:textId="6A69047D" w:rsidR="004405CD" w:rsidRDefault="002E6976"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0</w:t>
            </w:r>
          </w:p>
        </w:tc>
        <w:tc>
          <w:tcPr>
            <w:tcW w:w="851" w:type="dxa"/>
            <w:vAlign w:val="center"/>
          </w:tcPr>
          <w:p w14:paraId="20559D38" w14:textId="6D9B4456" w:rsidR="004405CD" w:rsidRDefault="002E6976"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1</w:t>
            </w:r>
          </w:p>
        </w:tc>
        <w:tc>
          <w:tcPr>
            <w:tcW w:w="850" w:type="dxa"/>
            <w:vAlign w:val="center"/>
          </w:tcPr>
          <w:p w14:paraId="0F7D3C65" w14:textId="2F41469E" w:rsidR="004405CD" w:rsidRDefault="002E6976"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1</w:t>
            </w:r>
          </w:p>
        </w:tc>
        <w:tc>
          <w:tcPr>
            <w:tcW w:w="993" w:type="dxa"/>
            <w:vAlign w:val="center"/>
          </w:tcPr>
          <w:p w14:paraId="7C349384" w14:textId="65B9770B" w:rsidR="004405CD" w:rsidRDefault="002E6976"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2</w:t>
            </w:r>
          </w:p>
        </w:tc>
        <w:tc>
          <w:tcPr>
            <w:tcW w:w="992" w:type="dxa"/>
            <w:vAlign w:val="center"/>
          </w:tcPr>
          <w:p w14:paraId="080C3A53" w14:textId="02178C19" w:rsidR="004405CD" w:rsidRDefault="002870A2"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1</w:t>
            </w:r>
          </w:p>
        </w:tc>
        <w:tc>
          <w:tcPr>
            <w:tcW w:w="850" w:type="dxa"/>
            <w:vAlign w:val="center"/>
          </w:tcPr>
          <w:p w14:paraId="58262FEF" w14:textId="3B920827" w:rsidR="004405CD" w:rsidRDefault="002870A2" w:rsidP="00B24893">
            <w:pPr>
              <w:widowControl/>
              <w:adjustRightInd w:val="0"/>
              <w:snapToGrid w:val="0"/>
              <w:ind w:firstLineChars="100" w:firstLine="240"/>
              <w:rPr>
                <w:rFonts w:ascii="宋体" w:hAnsi="宋体" w:cs="宋体"/>
                <w:bCs/>
                <w:sz w:val="24"/>
                <w:szCs w:val="24"/>
              </w:rPr>
            </w:pPr>
            <w:r>
              <w:rPr>
                <w:rFonts w:ascii="宋体" w:hAnsi="宋体" w:cs="宋体" w:hint="eastAsia"/>
                <w:bCs/>
                <w:sz w:val="24"/>
                <w:szCs w:val="24"/>
              </w:rPr>
              <w:t>2</w:t>
            </w:r>
          </w:p>
        </w:tc>
        <w:tc>
          <w:tcPr>
            <w:tcW w:w="851" w:type="dxa"/>
            <w:vAlign w:val="center"/>
          </w:tcPr>
          <w:p w14:paraId="4C09BCFD" w14:textId="0CE2F972" w:rsidR="004405CD" w:rsidRDefault="002870A2" w:rsidP="00B24893">
            <w:pPr>
              <w:widowControl/>
              <w:adjustRightInd w:val="0"/>
              <w:snapToGrid w:val="0"/>
              <w:ind w:firstLineChars="100" w:firstLine="240"/>
              <w:rPr>
                <w:rFonts w:ascii="宋体" w:hAnsi="宋体" w:cs="宋体"/>
                <w:bCs/>
                <w:sz w:val="24"/>
                <w:szCs w:val="24"/>
              </w:rPr>
            </w:pPr>
            <w:r>
              <w:rPr>
                <w:rFonts w:ascii="宋体" w:hAnsi="宋体" w:cs="宋体" w:hint="eastAsia"/>
                <w:bCs/>
                <w:sz w:val="24"/>
                <w:szCs w:val="24"/>
              </w:rPr>
              <w:t>2</w:t>
            </w:r>
          </w:p>
        </w:tc>
      </w:tr>
      <w:tr w:rsidR="004405CD" w14:paraId="48C17E5F" w14:textId="77777777" w:rsidTr="002870A2">
        <w:trPr>
          <w:gridAfter w:val="1"/>
          <w:wAfter w:w="24" w:type="dxa"/>
          <w:trHeight w:val="578"/>
        </w:trPr>
        <w:tc>
          <w:tcPr>
            <w:tcW w:w="959" w:type="dxa"/>
            <w:vAlign w:val="center"/>
          </w:tcPr>
          <w:p w14:paraId="2DDD4056" w14:textId="77777777" w:rsidR="004405CD" w:rsidRPr="002E6976" w:rsidRDefault="004405CD" w:rsidP="002E6976">
            <w:pPr>
              <w:widowControl/>
              <w:adjustRightInd w:val="0"/>
              <w:snapToGrid w:val="0"/>
              <w:jc w:val="center"/>
              <w:rPr>
                <w:rFonts w:ascii="宋体" w:hAnsi="宋体" w:cs="宋体"/>
                <w:b/>
                <w:sz w:val="24"/>
                <w:szCs w:val="24"/>
              </w:rPr>
            </w:pPr>
            <w:r w:rsidRPr="002E6976">
              <w:rPr>
                <w:rFonts w:ascii="宋体" w:hAnsi="宋体" w:cs="宋体" w:hint="eastAsia"/>
                <w:b/>
                <w:sz w:val="24"/>
                <w:szCs w:val="24"/>
              </w:rPr>
              <w:t>副高级</w:t>
            </w:r>
          </w:p>
        </w:tc>
        <w:tc>
          <w:tcPr>
            <w:tcW w:w="709" w:type="dxa"/>
            <w:vAlign w:val="center"/>
          </w:tcPr>
          <w:p w14:paraId="1BF9EE19" w14:textId="6C0365A3" w:rsidR="004405CD" w:rsidRDefault="002E6976" w:rsidP="002870A2">
            <w:pPr>
              <w:widowControl/>
              <w:adjustRightInd w:val="0"/>
              <w:snapToGrid w:val="0"/>
              <w:jc w:val="center"/>
              <w:rPr>
                <w:rFonts w:ascii="宋体" w:hAnsi="宋体" w:cs="宋体"/>
                <w:bCs/>
                <w:sz w:val="24"/>
                <w:szCs w:val="24"/>
              </w:rPr>
            </w:pPr>
            <w:r>
              <w:rPr>
                <w:rFonts w:ascii="宋体" w:hAnsi="宋体" w:cs="宋体" w:hint="eastAsia"/>
                <w:bCs/>
                <w:sz w:val="24"/>
                <w:szCs w:val="24"/>
              </w:rPr>
              <w:t>3</w:t>
            </w:r>
          </w:p>
        </w:tc>
        <w:tc>
          <w:tcPr>
            <w:tcW w:w="992" w:type="dxa"/>
            <w:vAlign w:val="center"/>
          </w:tcPr>
          <w:p w14:paraId="5E2FFA2A" w14:textId="71FA0B30" w:rsidR="004405CD" w:rsidRDefault="002E6976"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1</w:t>
            </w:r>
          </w:p>
        </w:tc>
        <w:tc>
          <w:tcPr>
            <w:tcW w:w="850" w:type="dxa"/>
            <w:vAlign w:val="center"/>
          </w:tcPr>
          <w:p w14:paraId="719D093A" w14:textId="3A48BD8E" w:rsidR="004405CD" w:rsidRDefault="002E6976"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1</w:t>
            </w:r>
          </w:p>
        </w:tc>
        <w:tc>
          <w:tcPr>
            <w:tcW w:w="851" w:type="dxa"/>
            <w:vAlign w:val="center"/>
          </w:tcPr>
          <w:p w14:paraId="3077EC75" w14:textId="352EBACA" w:rsidR="004405CD" w:rsidRDefault="002E6976"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1</w:t>
            </w:r>
          </w:p>
        </w:tc>
        <w:tc>
          <w:tcPr>
            <w:tcW w:w="850" w:type="dxa"/>
            <w:vAlign w:val="center"/>
          </w:tcPr>
          <w:p w14:paraId="03B71E0C" w14:textId="77777777" w:rsidR="004405CD" w:rsidRDefault="004405CD"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0</w:t>
            </w:r>
          </w:p>
        </w:tc>
        <w:tc>
          <w:tcPr>
            <w:tcW w:w="993" w:type="dxa"/>
            <w:vAlign w:val="center"/>
          </w:tcPr>
          <w:p w14:paraId="1490B068" w14:textId="2EC9871E" w:rsidR="004405CD" w:rsidRDefault="002E6976"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3</w:t>
            </w:r>
          </w:p>
        </w:tc>
        <w:tc>
          <w:tcPr>
            <w:tcW w:w="992" w:type="dxa"/>
            <w:vAlign w:val="center"/>
          </w:tcPr>
          <w:p w14:paraId="0DCC5283" w14:textId="23FD9DE3" w:rsidR="004405CD" w:rsidRDefault="002870A2"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3</w:t>
            </w:r>
          </w:p>
        </w:tc>
        <w:tc>
          <w:tcPr>
            <w:tcW w:w="850" w:type="dxa"/>
            <w:vAlign w:val="center"/>
          </w:tcPr>
          <w:p w14:paraId="72861F10" w14:textId="77777777" w:rsidR="004405CD" w:rsidRDefault="004405CD" w:rsidP="00B24893">
            <w:pPr>
              <w:widowControl/>
              <w:adjustRightInd w:val="0"/>
              <w:snapToGrid w:val="0"/>
              <w:ind w:firstLineChars="100" w:firstLine="240"/>
              <w:rPr>
                <w:rFonts w:ascii="宋体" w:hAnsi="宋体" w:cs="宋体"/>
                <w:bCs/>
                <w:sz w:val="24"/>
                <w:szCs w:val="24"/>
              </w:rPr>
            </w:pPr>
            <w:r>
              <w:rPr>
                <w:rFonts w:ascii="宋体" w:hAnsi="宋体" w:cs="宋体" w:hint="eastAsia"/>
                <w:bCs/>
                <w:sz w:val="24"/>
                <w:szCs w:val="24"/>
              </w:rPr>
              <w:t>0</w:t>
            </w:r>
          </w:p>
        </w:tc>
        <w:tc>
          <w:tcPr>
            <w:tcW w:w="851" w:type="dxa"/>
            <w:vAlign w:val="center"/>
          </w:tcPr>
          <w:p w14:paraId="1E62A0DA" w14:textId="57482AAC" w:rsidR="004405CD" w:rsidRDefault="002870A2" w:rsidP="00B24893">
            <w:pPr>
              <w:widowControl/>
              <w:adjustRightInd w:val="0"/>
              <w:snapToGrid w:val="0"/>
              <w:ind w:firstLineChars="100" w:firstLine="240"/>
              <w:rPr>
                <w:rFonts w:ascii="宋体" w:hAnsi="宋体" w:cs="宋体"/>
                <w:bCs/>
                <w:sz w:val="24"/>
                <w:szCs w:val="24"/>
              </w:rPr>
            </w:pPr>
            <w:r>
              <w:rPr>
                <w:rFonts w:ascii="宋体" w:hAnsi="宋体" w:cs="宋体" w:hint="eastAsia"/>
                <w:bCs/>
                <w:sz w:val="24"/>
                <w:szCs w:val="24"/>
              </w:rPr>
              <w:t>3</w:t>
            </w:r>
          </w:p>
        </w:tc>
      </w:tr>
      <w:tr w:rsidR="004405CD" w14:paraId="58407360" w14:textId="77777777" w:rsidTr="002870A2">
        <w:trPr>
          <w:gridAfter w:val="1"/>
          <w:wAfter w:w="24" w:type="dxa"/>
          <w:trHeight w:val="869"/>
        </w:trPr>
        <w:tc>
          <w:tcPr>
            <w:tcW w:w="959" w:type="dxa"/>
            <w:vAlign w:val="center"/>
          </w:tcPr>
          <w:p w14:paraId="7580565B" w14:textId="1CFB5740" w:rsidR="004405CD" w:rsidRPr="002E6976" w:rsidRDefault="004405CD" w:rsidP="002E6976">
            <w:pPr>
              <w:widowControl/>
              <w:adjustRightInd w:val="0"/>
              <w:snapToGrid w:val="0"/>
              <w:jc w:val="center"/>
              <w:rPr>
                <w:rFonts w:ascii="宋体" w:hAnsi="宋体" w:cs="宋体"/>
                <w:b/>
                <w:sz w:val="24"/>
                <w:szCs w:val="24"/>
              </w:rPr>
            </w:pPr>
            <w:r w:rsidRPr="002E6976">
              <w:rPr>
                <w:rFonts w:ascii="宋体" w:hAnsi="宋体" w:cs="宋体" w:hint="eastAsia"/>
                <w:b/>
                <w:sz w:val="24"/>
                <w:szCs w:val="24"/>
              </w:rPr>
              <w:t>其他</w:t>
            </w:r>
          </w:p>
        </w:tc>
        <w:tc>
          <w:tcPr>
            <w:tcW w:w="709" w:type="dxa"/>
            <w:vAlign w:val="center"/>
          </w:tcPr>
          <w:p w14:paraId="577DD426" w14:textId="58835711" w:rsidR="004405CD" w:rsidRDefault="002E6976" w:rsidP="002870A2">
            <w:pPr>
              <w:widowControl/>
              <w:adjustRightInd w:val="0"/>
              <w:snapToGrid w:val="0"/>
              <w:jc w:val="center"/>
              <w:rPr>
                <w:rFonts w:ascii="宋体" w:hAnsi="宋体" w:cs="宋体"/>
                <w:bCs/>
                <w:sz w:val="24"/>
                <w:szCs w:val="24"/>
              </w:rPr>
            </w:pPr>
            <w:r>
              <w:rPr>
                <w:rFonts w:ascii="宋体" w:hAnsi="宋体" w:cs="宋体" w:hint="eastAsia"/>
                <w:bCs/>
                <w:sz w:val="24"/>
                <w:szCs w:val="24"/>
              </w:rPr>
              <w:t>7</w:t>
            </w:r>
          </w:p>
        </w:tc>
        <w:tc>
          <w:tcPr>
            <w:tcW w:w="992" w:type="dxa"/>
            <w:vAlign w:val="center"/>
          </w:tcPr>
          <w:p w14:paraId="11408FA6" w14:textId="2F1A9688" w:rsidR="004405CD" w:rsidRDefault="002E6976"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1</w:t>
            </w:r>
          </w:p>
        </w:tc>
        <w:tc>
          <w:tcPr>
            <w:tcW w:w="850" w:type="dxa"/>
            <w:vAlign w:val="center"/>
          </w:tcPr>
          <w:p w14:paraId="74D37E9C" w14:textId="7FFA95AE" w:rsidR="004405CD" w:rsidRDefault="002E6976"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4</w:t>
            </w:r>
          </w:p>
        </w:tc>
        <w:tc>
          <w:tcPr>
            <w:tcW w:w="851" w:type="dxa"/>
            <w:vAlign w:val="center"/>
          </w:tcPr>
          <w:p w14:paraId="70AD266C" w14:textId="648749F8" w:rsidR="004405CD" w:rsidRDefault="002E6976"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2</w:t>
            </w:r>
          </w:p>
        </w:tc>
        <w:tc>
          <w:tcPr>
            <w:tcW w:w="850" w:type="dxa"/>
            <w:vAlign w:val="center"/>
          </w:tcPr>
          <w:p w14:paraId="3DA7F1E6" w14:textId="77777777" w:rsidR="004405CD" w:rsidRDefault="004405CD"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0</w:t>
            </w:r>
          </w:p>
        </w:tc>
        <w:tc>
          <w:tcPr>
            <w:tcW w:w="993" w:type="dxa"/>
            <w:vAlign w:val="center"/>
          </w:tcPr>
          <w:p w14:paraId="350D6685" w14:textId="095E1F83" w:rsidR="004405CD" w:rsidRDefault="002E6976"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7</w:t>
            </w:r>
          </w:p>
        </w:tc>
        <w:tc>
          <w:tcPr>
            <w:tcW w:w="992" w:type="dxa"/>
            <w:vAlign w:val="center"/>
          </w:tcPr>
          <w:p w14:paraId="5E22D973" w14:textId="539ECD01" w:rsidR="004405CD" w:rsidRDefault="002870A2"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1</w:t>
            </w:r>
          </w:p>
        </w:tc>
        <w:tc>
          <w:tcPr>
            <w:tcW w:w="850" w:type="dxa"/>
            <w:vAlign w:val="center"/>
          </w:tcPr>
          <w:p w14:paraId="79FD0882" w14:textId="77777777" w:rsidR="004405CD" w:rsidRDefault="004405CD" w:rsidP="00B24893">
            <w:pPr>
              <w:widowControl/>
              <w:adjustRightInd w:val="0"/>
              <w:snapToGrid w:val="0"/>
              <w:ind w:firstLineChars="100" w:firstLine="240"/>
              <w:rPr>
                <w:rFonts w:ascii="宋体" w:hAnsi="宋体" w:cs="宋体"/>
                <w:bCs/>
                <w:sz w:val="24"/>
                <w:szCs w:val="24"/>
              </w:rPr>
            </w:pPr>
            <w:r>
              <w:rPr>
                <w:rFonts w:ascii="宋体" w:hAnsi="宋体" w:cs="宋体" w:hint="eastAsia"/>
                <w:bCs/>
                <w:sz w:val="24"/>
                <w:szCs w:val="24"/>
              </w:rPr>
              <w:t>0</w:t>
            </w:r>
          </w:p>
        </w:tc>
        <w:tc>
          <w:tcPr>
            <w:tcW w:w="851" w:type="dxa"/>
            <w:vAlign w:val="center"/>
          </w:tcPr>
          <w:p w14:paraId="7B3C6D77" w14:textId="5A35C8AF" w:rsidR="004405CD" w:rsidRDefault="002870A2" w:rsidP="00B24893">
            <w:pPr>
              <w:widowControl/>
              <w:adjustRightInd w:val="0"/>
              <w:snapToGrid w:val="0"/>
              <w:ind w:firstLineChars="100" w:firstLine="240"/>
              <w:rPr>
                <w:rFonts w:ascii="宋体" w:hAnsi="宋体" w:cs="宋体"/>
                <w:bCs/>
                <w:sz w:val="24"/>
                <w:szCs w:val="24"/>
              </w:rPr>
            </w:pPr>
            <w:r>
              <w:rPr>
                <w:rFonts w:ascii="宋体" w:hAnsi="宋体" w:cs="宋体" w:hint="eastAsia"/>
                <w:bCs/>
                <w:sz w:val="24"/>
                <w:szCs w:val="24"/>
              </w:rPr>
              <w:t>2</w:t>
            </w:r>
          </w:p>
        </w:tc>
      </w:tr>
      <w:tr w:rsidR="004405CD" w14:paraId="5064DCD0" w14:textId="77777777" w:rsidTr="002870A2">
        <w:trPr>
          <w:gridAfter w:val="1"/>
          <w:wAfter w:w="24" w:type="dxa"/>
          <w:trHeight w:val="877"/>
        </w:trPr>
        <w:tc>
          <w:tcPr>
            <w:tcW w:w="959" w:type="dxa"/>
            <w:vAlign w:val="center"/>
          </w:tcPr>
          <w:p w14:paraId="2FEE61AF" w14:textId="714EF4C9" w:rsidR="004405CD" w:rsidRPr="002E6976" w:rsidRDefault="004405CD" w:rsidP="002E6976">
            <w:pPr>
              <w:widowControl/>
              <w:adjustRightInd w:val="0"/>
              <w:snapToGrid w:val="0"/>
              <w:jc w:val="center"/>
              <w:rPr>
                <w:rFonts w:ascii="宋体" w:hAnsi="宋体" w:cs="宋体"/>
                <w:b/>
                <w:sz w:val="24"/>
                <w:szCs w:val="24"/>
              </w:rPr>
            </w:pPr>
            <w:r w:rsidRPr="002E6976">
              <w:rPr>
                <w:rFonts w:ascii="宋体" w:hAnsi="宋体" w:cs="宋体" w:hint="eastAsia"/>
                <w:b/>
                <w:sz w:val="24"/>
                <w:szCs w:val="24"/>
              </w:rPr>
              <w:t>总计</w:t>
            </w:r>
          </w:p>
        </w:tc>
        <w:tc>
          <w:tcPr>
            <w:tcW w:w="709" w:type="dxa"/>
            <w:vAlign w:val="center"/>
          </w:tcPr>
          <w:p w14:paraId="6726330A" w14:textId="43D831BF" w:rsidR="004405CD" w:rsidRDefault="002E6976" w:rsidP="002870A2">
            <w:pPr>
              <w:widowControl/>
              <w:adjustRightInd w:val="0"/>
              <w:snapToGrid w:val="0"/>
              <w:jc w:val="center"/>
              <w:rPr>
                <w:rFonts w:ascii="宋体" w:hAnsi="宋体" w:cs="宋体"/>
                <w:bCs/>
                <w:sz w:val="24"/>
                <w:szCs w:val="24"/>
              </w:rPr>
            </w:pPr>
            <w:r>
              <w:rPr>
                <w:rFonts w:ascii="宋体" w:hAnsi="宋体" w:cs="宋体" w:hint="eastAsia"/>
                <w:bCs/>
                <w:sz w:val="24"/>
                <w:szCs w:val="24"/>
              </w:rPr>
              <w:t>1</w:t>
            </w:r>
            <w:r>
              <w:rPr>
                <w:rFonts w:ascii="宋体" w:hAnsi="宋体" w:cs="宋体"/>
                <w:bCs/>
                <w:sz w:val="24"/>
                <w:szCs w:val="24"/>
              </w:rPr>
              <w:t>2</w:t>
            </w:r>
          </w:p>
        </w:tc>
        <w:tc>
          <w:tcPr>
            <w:tcW w:w="992" w:type="dxa"/>
            <w:vAlign w:val="center"/>
          </w:tcPr>
          <w:p w14:paraId="3F80F6E0" w14:textId="66FA0659" w:rsidR="004405CD" w:rsidRDefault="002E6976"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2</w:t>
            </w:r>
          </w:p>
        </w:tc>
        <w:tc>
          <w:tcPr>
            <w:tcW w:w="850" w:type="dxa"/>
            <w:vAlign w:val="center"/>
          </w:tcPr>
          <w:p w14:paraId="518BCCF6" w14:textId="3DADF000" w:rsidR="004405CD" w:rsidRDefault="002E6976"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5</w:t>
            </w:r>
          </w:p>
        </w:tc>
        <w:tc>
          <w:tcPr>
            <w:tcW w:w="851" w:type="dxa"/>
            <w:vAlign w:val="center"/>
          </w:tcPr>
          <w:p w14:paraId="7B42CE2F" w14:textId="3F732768" w:rsidR="004405CD" w:rsidRDefault="002E6976"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4</w:t>
            </w:r>
          </w:p>
        </w:tc>
        <w:tc>
          <w:tcPr>
            <w:tcW w:w="850" w:type="dxa"/>
            <w:vAlign w:val="center"/>
          </w:tcPr>
          <w:p w14:paraId="4CECD297" w14:textId="1A61405C" w:rsidR="004405CD" w:rsidRDefault="002E6976"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1</w:t>
            </w:r>
          </w:p>
        </w:tc>
        <w:tc>
          <w:tcPr>
            <w:tcW w:w="993" w:type="dxa"/>
            <w:vAlign w:val="center"/>
          </w:tcPr>
          <w:p w14:paraId="2735A5EC" w14:textId="428F1081" w:rsidR="004405CD" w:rsidRDefault="002E6976"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1</w:t>
            </w:r>
            <w:r>
              <w:rPr>
                <w:rFonts w:ascii="宋体" w:hAnsi="宋体" w:cs="宋体"/>
                <w:bCs/>
                <w:sz w:val="24"/>
                <w:szCs w:val="24"/>
              </w:rPr>
              <w:t>2</w:t>
            </w:r>
          </w:p>
        </w:tc>
        <w:tc>
          <w:tcPr>
            <w:tcW w:w="992" w:type="dxa"/>
            <w:vAlign w:val="center"/>
          </w:tcPr>
          <w:p w14:paraId="502B1C22" w14:textId="35038F7F" w:rsidR="004405CD" w:rsidRDefault="002870A2" w:rsidP="002870A2">
            <w:pPr>
              <w:widowControl/>
              <w:adjustRightInd w:val="0"/>
              <w:snapToGrid w:val="0"/>
              <w:ind w:firstLineChars="100" w:firstLine="240"/>
              <w:jc w:val="center"/>
              <w:rPr>
                <w:rFonts w:ascii="宋体" w:hAnsi="宋体" w:cs="宋体"/>
                <w:bCs/>
                <w:sz w:val="24"/>
                <w:szCs w:val="24"/>
              </w:rPr>
            </w:pPr>
            <w:r>
              <w:rPr>
                <w:rFonts w:ascii="宋体" w:hAnsi="宋体" w:cs="宋体" w:hint="eastAsia"/>
                <w:bCs/>
                <w:sz w:val="24"/>
                <w:szCs w:val="24"/>
              </w:rPr>
              <w:t>5</w:t>
            </w:r>
          </w:p>
        </w:tc>
        <w:tc>
          <w:tcPr>
            <w:tcW w:w="850" w:type="dxa"/>
            <w:vAlign w:val="center"/>
          </w:tcPr>
          <w:p w14:paraId="20E3368B" w14:textId="3AFD1393" w:rsidR="004405CD" w:rsidRDefault="002870A2" w:rsidP="00B24893">
            <w:pPr>
              <w:widowControl/>
              <w:adjustRightInd w:val="0"/>
              <w:snapToGrid w:val="0"/>
              <w:ind w:firstLineChars="100" w:firstLine="240"/>
              <w:rPr>
                <w:rFonts w:ascii="宋体" w:hAnsi="宋体" w:cs="宋体"/>
                <w:bCs/>
                <w:sz w:val="24"/>
                <w:szCs w:val="24"/>
              </w:rPr>
            </w:pPr>
            <w:r>
              <w:rPr>
                <w:rFonts w:ascii="宋体" w:hAnsi="宋体" w:cs="宋体" w:hint="eastAsia"/>
                <w:bCs/>
                <w:sz w:val="24"/>
                <w:szCs w:val="24"/>
              </w:rPr>
              <w:t>2</w:t>
            </w:r>
          </w:p>
        </w:tc>
        <w:tc>
          <w:tcPr>
            <w:tcW w:w="851" w:type="dxa"/>
            <w:vAlign w:val="center"/>
          </w:tcPr>
          <w:p w14:paraId="47B04571" w14:textId="7EE1FC11" w:rsidR="004405CD" w:rsidRDefault="002870A2" w:rsidP="00B24893">
            <w:pPr>
              <w:widowControl/>
              <w:adjustRightInd w:val="0"/>
              <w:snapToGrid w:val="0"/>
              <w:ind w:firstLineChars="100" w:firstLine="240"/>
              <w:rPr>
                <w:rFonts w:ascii="宋体" w:hAnsi="宋体" w:cs="宋体"/>
                <w:bCs/>
                <w:sz w:val="24"/>
                <w:szCs w:val="24"/>
              </w:rPr>
            </w:pPr>
            <w:r>
              <w:rPr>
                <w:rFonts w:ascii="宋体" w:hAnsi="宋体" w:cs="宋体" w:hint="eastAsia"/>
                <w:bCs/>
                <w:sz w:val="24"/>
                <w:szCs w:val="24"/>
              </w:rPr>
              <w:t>7</w:t>
            </w:r>
          </w:p>
        </w:tc>
      </w:tr>
    </w:tbl>
    <w:p w14:paraId="5D8E10E6" w14:textId="77777777" w:rsidR="00961DE0" w:rsidRDefault="00961DE0" w:rsidP="00D14D98">
      <w:pPr>
        <w:spacing w:line="360" w:lineRule="auto"/>
        <w:jc w:val="left"/>
        <w:rPr>
          <w:rFonts w:asciiTheme="minorEastAsia" w:hAnsiTheme="minorEastAsia"/>
          <w:sz w:val="24"/>
          <w:szCs w:val="24"/>
        </w:rPr>
      </w:pPr>
    </w:p>
    <w:p w14:paraId="5531FCC0" w14:textId="1063BE74" w:rsidR="00D14D98" w:rsidRPr="00961DE0" w:rsidRDefault="00D14D98" w:rsidP="00961DE0">
      <w:pPr>
        <w:spacing w:line="360" w:lineRule="auto"/>
        <w:ind w:firstLineChars="200" w:firstLine="482"/>
        <w:jc w:val="left"/>
        <w:rPr>
          <w:rFonts w:asciiTheme="minorEastAsia" w:hAnsiTheme="minorEastAsia"/>
          <w:b/>
          <w:bCs/>
          <w:sz w:val="24"/>
          <w:szCs w:val="24"/>
        </w:rPr>
      </w:pPr>
      <w:r w:rsidRPr="00961DE0">
        <w:rPr>
          <w:rFonts w:asciiTheme="minorEastAsia" w:hAnsiTheme="minorEastAsia" w:hint="eastAsia"/>
          <w:b/>
          <w:bCs/>
          <w:sz w:val="24"/>
          <w:szCs w:val="24"/>
        </w:rPr>
        <w:t>3</w:t>
      </w:r>
      <w:r w:rsidRPr="00961DE0">
        <w:rPr>
          <w:rFonts w:asciiTheme="minorEastAsia" w:hAnsiTheme="minorEastAsia"/>
          <w:b/>
          <w:bCs/>
          <w:sz w:val="24"/>
          <w:szCs w:val="24"/>
        </w:rPr>
        <w:t>.</w:t>
      </w:r>
      <w:r w:rsidR="0065518C" w:rsidRPr="00961DE0">
        <w:rPr>
          <w:rFonts w:asciiTheme="minorEastAsia" w:hAnsiTheme="minorEastAsia" w:hint="eastAsia"/>
          <w:b/>
          <w:bCs/>
          <w:sz w:val="24"/>
          <w:szCs w:val="24"/>
        </w:rPr>
        <w:t>科学研究</w:t>
      </w:r>
    </w:p>
    <w:p w14:paraId="1FA86C30" w14:textId="7ED0A316" w:rsidR="00D14D98" w:rsidRDefault="006648C8" w:rsidP="00961DE0">
      <w:pPr>
        <w:spacing w:line="360" w:lineRule="auto"/>
        <w:ind w:firstLineChars="200" w:firstLine="480"/>
        <w:jc w:val="left"/>
        <w:rPr>
          <w:rFonts w:asciiTheme="minorEastAsia" w:hAnsiTheme="minorEastAsia"/>
          <w:sz w:val="24"/>
          <w:szCs w:val="24"/>
        </w:rPr>
      </w:pPr>
      <w:r w:rsidRPr="006648C8">
        <w:rPr>
          <w:rFonts w:asciiTheme="minorEastAsia" w:hAnsiTheme="minorEastAsia" w:hint="eastAsia"/>
          <w:sz w:val="24"/>
          <w:szCs w:val="24"/>
        </w:rPr>
        <w:t>2020年，</w:t>
      </w:r>
      <w:r>
        <w:rPr>
          <w:rFonts w:asciiTheme="minorEastAsia" w:hAnsiTheme="minorEastAsia" w:hint="eastAsia"/>
          <w:sz w:val="24"/>
          <w:szCs w:val="24"/>
        </w:rPr>
        <w:t>世界史</w:t>
      </w:r>
      <w:r w:rsidRPr="006648C8">
        <w:rPr>
          <w:rFonts w:asciiTheme="minorEastAsia" w:hAnsiTheme="minorEastAsia" w:hint="eastAsia"/>
          <w:sz w:val="24"/>
          <w:szCs w:val="24"/>
        </w:rPr>
        <w:t>学科共发表文章</w:t>
      </w:r>
      <w:r w:rsidR="00961DE0">
        <w:rPr>
          <w:rFonts w:asciiTheme="minorEastAsia" w:hAnsiTheme="minorEastAsia" w:hint="eastAsia"/>
          <w:sz w:val="24"/>
          <w:szCs w:val="24"/>
        </w:rPr>
        <w:t>近1</w:t>
      </w:r>
      <w:r w:rsidR="00961DE0">
        <w:rPr>
          <w:rFonts w:asciiTheme="minorEastAsia" w:hAnsiTheme="minorEastAsia"/>
          <w:sz w:val="24"/>
          <w:szCs w:val="24"/>
        </w:rPr>
        <w:t>0</w:t>
      </w:r>
      <w:r w:rsidRPr="006648C8">
        <w:rPr>
          <w:rFonts w:asciiTheme="minorEastAsia" w:hAnsiTheme="minorEastAsia" w:hint="eastAsia"/>
          <w:sz w:val="24"/>
          <w:szCs w:val="24"/>
        </w:rPr>
        <w:t>篇。出版专著1部。申请各类项目</w:t>
      </w:r>
      <w:r w:rsidR="00961DE0">
        <w:rPr>
          <w:rFonts w:asciiTheme="minorEastAsia" w:hAnsiTheme="minorEastAsia" w:hint="eastAsia"/>
          <w:sz w:val="24"/>
          <w:szCs w:val="24"/>
        </w:rPr>
        <w:t>共6</w:t>
      </w:r>
      <w:r w:rsidRPr="006648C8">
        <w:rPr>
          <w:rFonts w:asciiTheme="minorEastAsia" w:hAnsiTheme="minorEastAsia" w:hint="eastAsia"/>
          <w:sz w:val="24"/>
          <w:szCs w:val="24"/>
        </w:rPr>
        <w:t>项，其中国家社科基金</w:t>
      </w:r>
      <w:r w:rsidR="00961DE0">
        <w:rPr>
          <w:rFonts w:asciiTheme="minorEastAsia" w:hAnsiTheme="minorEastAsia" w:hint="eastAsia"/>
          <w:sz w:val="24"/>
          <w:szCs w:val="24"/>
        </w:rPr>
        <w:t>后期</w:t>
      </w:r>
      <w:r w:rsidRPr="006648C8">
        <w:rPr>
          <w:rFonts w:asciiTheme="minorEastAsia" w:hAnsiTheme="minorEastAsia" w:hint="eastAsia"/>
          <w:sz w:val="24"/>
          <w:szCs w:val="24"/>
        </w:rPr>
        <w:t>资助项目</w:t>
      </w:r>
      <w:r w:rsidR="00961DE0">
        <w:rPr>
          <w:rFonts w:asciiTheme="minorEastAsia" w:hAnsiTheme="minorEastAsia"/>
          <w:sz w:val="24"/>
          <w:szCs w:val="24"/>
        </w:rPr>
        <w:t>1</w:t>
      </w:r>
      <w:r w:rsidRPr="006648C8">
        <w:rPr>
          <w:rFonts w:asciiTheme="minorEastAsia" w:hAnsiTheme="minorEastAsia" w:hint="eastAsia"/>
          <w:sz w:val="24"/>
          <w:szCs w:val="24"/>
        </w:rPr>
        <w:t>项。</w:t>
      </w:r>
    </w:p>
    <w:p w14:paraId="042A1679" w14:textId="2DA53421" w:rsidR="00303EF9" w:rsidRPr="00B3241A" w:rsidRDefault="004E601E" w:rsidP="00B3241A">
      <w:pPr>
        <w:spacing w:line="360" w:lineRule="auto"/>
        <w:ind w:firstLineChars="200" w:firstLine="482"/>
        <w:jc w:val="left"/>
        <w:rPr>
          <w:rFonts w:asciiTheme="minorEastAsia" w:hAnsiTheme="minorEastAsia"/>
          <w:b/>
          <w:bCs/>
          <w:sz w:val="24"/>
          <w:szCs w:val="24"/>
        </w:rPr>
      </w:pPr>
      <w:r w:rsidRPr="00B3241A">
        <w:rPr>
          <w:rFonts w:asciiTheme="minorEastAsia" w:hAnsiTheme="minorEastAsia" w:hint="eastAsia"/>
          <w:b/>
          <w:bCs/>
          <w:sz w:val="24"/>
          <w:szCs w:val="24"/>
        </w:rPr>
        <w:t>4</w:t>
      </w:r>
      <w:r w:rsidRPr="00B3241A">
        <w:rPr>
          <w:rFonts w:asciiTheme="minorEastAsia" w:hAnsiTheme="minorEastAsia"/>
          <w:b/>
          <w:bCs/>
          <w:sz w:val="24"/>
          <w:szCs w:val="24"/>
        </w:rPr>
        <w:t>.</w:t>
      </w:r>
      <w:r w:rsidR="0065518C" w:rsidRPr="00B3241A">
        <w:rPr>
          <w:rFonts w:asciiTheme="minorEastAsia" w:hAnsiTheme="minorEastAsia" w:hint="eastAsia"/>
          <w:b/>
          <w:bCs/>
          <w:sz w:val="24"/>
          <w:szCs w:val="24"/>
        </w:rPr>
        <w:t>教学科研支撑</w:t>
      </w:r>
      <w:r w:rsidR="00303EF9" w:rsidRPr="00B3241A">
        <w:rPr>
          <w:rFonts w:asciiTheme="minorEastAsia" w:hAnsiTheme="minorEastAsia" w:hint="eastAsia"/>
          <w:b/>
          <w:bCs/>
          <w:sz w:val="24"/>
          <w:szCs w:val="24"/>
        </w:rPr>
        <w:t>条件</w:t>
      </w:r>
    </w:p>
    <w:p w14:paraId="35CDA304" w14:textId="22A76ED9" w:rsidR="004E601E" w:rsidRDefault="004E601E" w:rsidP="004E601E">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世界史学科现入选</w:t>
      </w:r>
      <w:r>
        <w:rPr>
          <w:rFonts w:asciiTheme="minorEastAsia" w:hAnsiTheme="minorEastAsia"/>
          <w:sz w:val="24"/>
          <w:szCs w:val="24"/>
        </w:rPr>
        <w:t>2</w:t>
      </w:r>
      <w:r>
        <w:rPr>
          <w:rFonts w:asciiTheme="minorEastAsia" w:hAnsiTheme="minorEastAsia" w:hint="eastAsia"/>
          <w:sz w:val="24"/>
          <w:szCs w:val="24"/>
        </w:rPr>
        <w:t>个教学科研支撑平台。2</w:t>
      </w:r>
      <w:r>
        <w:rPr>
          <w:rFonts w:asciiTheme="minorEastAsia" w:hAnsiTheme="minorEastAsia"/>
          <w:sz w:val="24"/>
          <w:szCs w:val="24"/>
        </w:rPr>
        <w:t>018</w:t>
      </w:r>
      <w:r>
        <w:rPr>
          <w:rFonts w:asciiTheme="minorEastAsia" w:hAnsiTheme="minorEastAsia" w:hint="eastAsia"/>
          <w:sz w:val="24"/>
          <w:szCs w:val="24"/>
        </w:rPr>
        <w:t>年经山西省教育厅批准，本学科被确定为山西省重点建设学科；2</w:t>
      </w:r>
      <w:r>
        <w:rPr>
          <w:rFonts w:asciiTheme="minorEastAsia" w:hAnsiTheme="minorEastAsia"/>
          <w:sz w:val="24"/>
          <w:szCs w:val="24"/>
        </w:rPr>
        <w:t>019</w:t>
      </w:r>
      <w:r>
        <w:rPr>
          <w:rFonts w:asciiTheme="minorEastAsia" w:hAnsiTheme="minorEastAsia" w:hint="eastAsia"/>
          <w:sz w:val="24"/>
          <w:szCs w:val="24"/>
        </w:rPr>
        <w:t>年</w:t>
      </w:r>
      <w:r w:rsidR="00B3241A">
        <w:rPr>
          <w:rFonts w:asciiTheme="minorEastAsia" w:hAnsiTheme="minorEastAsia" w:hint="eastAsia"/>
          <w:sz w:val="24"/>
          <w:szCs w:val="24"/>
        </w:rPr>
        <w:t>本学科所在历史学专业入选国家一流本科专业建设点。</w:t>
      </w:r>
    </w:p>
    <w:tbl>
      <w:tblPr>
        <w:tblStyle w:val="a6"/>
        <w:tblW w:w="0" w:type="auto"/>
        <w:tblLook w:val="04A0" w:firstRow="1" w:lastRow="0" w:firstColumn="1" w:lastColumn="0" w:noHBand="0" w:noVBand="1"/>
      </w:tblPr>
      <w:tblGrid>
        <w:gridCol w:w="836"/>
        <w:gridCol w:w="2572"/>
        <w:gridCol w:w="1704"/>
        <w:gridCol w:w="1705"/>
        <w:gridCol w:w="1705"/>
      </w:tblGrid>
      <w:tr w:rsidR="00B3241A" w14:paraId="1013B02B" w14:textId="77777777" w:rsidTr="00707B21">
        <w:tc>
          <w:tcPr>
            <w:tcW w:w="8522" w:type="dxa"/>
            <w:gridSpan w:val="5"/>
            <w:vAlign w:val="center"/>
          </w:tcPr>
          <w:p w14:paraId="18FF2AA5" w14:textId="77777777" w:rsidR="00B3241A" w:rsidRDefault="00B3241A" w:rsidP="00707B21">
            <w:pPr>
              <w:ind w:firstLine="482"/>
              <w:jc w:val="center"/>
              <w:rPr>
                <w:rFonts w:ascii="宋体" w:hAnsi="宋体" w:cs="宋体"/>
                <w:bCs/>
                <w:sz w:val="24"/>
                <w:szCs w:val="24"/>
              </w:rPr>
            </w:pPr>
            <w:r>
              <w:rPr>
                <w:rFonts w:ascii="宋体" w:hAnsi="宋体" w:cs="宋体" w:hint="eastAsia"/>
                <w:b/>
                <w:sz w:val="24"/>
                <w:szCs w:val="24"/>
              </w:rPr>
              <w:t>支撑平台</w:t>
            </w:r>
          </w:p>
        </w:tc>
      </w:tr>
      <w:tr w:rsidR="00B3241A" w14:paraId="71AC9B3D" w14:textId="77777777" w:rsidTr="00707B21">
        <w:tc>
          <w:tcPr>
            <w:tcW w:w="836" w:type="dxa"/>
            <w:vAlign w:val="center"/>
          </w:tcPr>
          <w:p w14:paraId="5E5A2C40" w14:textId="159ED7B0" w:rsidR="00B3241A" w:rsidRDefault="00B3241A" w:rsidP="00B3241A">
            <w:pPr>
              <w:ind w:leftChars="-50" w:left="-105" w:rightChars="-50" w:right="-105"/>
              <w:jc w:val="center"/>
              <w:rPr>
                <w:rFonts w:ascii="宋体" w:hAnsi="宋体" w:cs="宋体"/>
                <w:bCs/>
                <w:sz w:val="24"/>
                <w:szCs w:val="24"/>
              </w:rPr>
            </w:pPr>
            <w:r>
              <w:rPr>
                <w:rFonts w:ascii="宋体" w:hAnsi="宋体" w:cs="宋体" w:hint="eastAsia"/>
                <w:bCs/>
                <w:sz w:val="24"/>
                <w:szCs w:val="24"/>
              </w:rPr>
              <w:t>序号</w:t>
            </w:r>
          </w:p>
        </w:tc>
        <w:tc>
          <w:tcPr>
            <w:tcW w:w="2572" w:type="dxa"/>
            <w:vAlign w:val="center"/>
          </w:tcPr>
          <w:p w14:paraId="446069CB" w14:textId="0FB36EF5" w:rsidR="00B3241A" w:rsidRDefault="00B3241A" w:rsidP="00B3241A">
            <w:pPr>
              <w:jc w:val="center"/>
              <w:rPr>
                <w:rFonts w:ascii="宋体" w:hAnsi="宋体" w:cs="宋体"/>
                <w:bCs/>
                <w:sz w:val="24"/>
                <w:szCs w:val="24"/>
              </w:rPr>
            </w:pPr>
            <w:r>
              <w:rPr>
                <w:rFonts w:ascii="宋体" w:hAnsi="宋体" w:cs="宋体" w:hint="eastAsia"/>
                <w:bCs/>
                <w:sz w:val="24"/>
                <w:szCs w:val="24"/>
              </w:rPr>
              <w:t>平台类别</w:t>
            </w:r>
          </w:p>
        </w:tc>
        <w:tc>
          <w:tcPr>
            <w:tcW w:w="1704" w:type="dxa"/>
            <w:vAlign w:val="center"/>
          </w:tcPr>
          <w:p w14:paraId="41C762B8" w14:textId="2FF47FB6" w:rsidR="00B3241A" w:rsidRDefault="00B3241A" w:rsidP="00B3241A">
            <w:pPr>
              <w:jc w:val="center"/>
              <w:rPr>
                <w:rFonts w:ascii="宋体" w:hAnsi="宋体" w:cs="宋体"/>
                <w:bCs/>
                <w:sz w:val="24"/>
                <w:szCs w:val="24"/>
              </w:rPr>
            </w:pPr>
            <w:r>
              <w:rPr>
                <w:rFonts w:ascii="宋体" w:hAnsi="宋体" w:cs="宋体" w:hint="eastAsia"/>
                <w:bCs/>
                <w:sz w:val="24"/>
                <w:szCs w:val="24"/>
              </w:rPr>
              <w:t>平台名称</w:t>
            </w:r>
          </w:p>
        </w:tc>
        <w:tc>
          <w:tcPr>
            <w:tcW w:w="1705" w:type="dxa"/>
            <w:vAlign w:val="center"/>
          </w:tcPr>
          <w:p w14:paraId="1922FBBF" w14:textId="53F4A6E3" w:rsidR="00B3241A" w:rsidRDefault="00B3241A" w:rsidP="00B3241A">
            <w:pPr>
              <w:jc w:val="center"/>
              <w:rPr>
                <w:rFonts w:ascii="宋体" w:hAnsi="宋体" w:cs="宋体"/>
                <w:bCs/>
                <w:sz w:val="24"/>
                <w:szCs w:val="24"/>
              </w:rPr>
            </w:pPr>
            <w:r>
              <w:rPr>
                <w:rFonts w:ascii="宋体" w:hAnsi="宋体" w:cs="宋体" w:hint="eastAsia"/>
                <w:bCs/>
                <w:sz w:val="24"/>
                <w:szCs w:val="24"/>
              </w:rPr>
              <w:t>批准部门</w:t>
            </w:r>
          </w:p>
        </w:tc>
        <w:tc>
          <w:tcPr>
            <w:tcW w:w="1705" w:type="dxa"/>
            <w:vAlign w:val="center"/>
          </w:tcPr>
          <w:p w14:paraId="6E208C20" w14:textId="77777777" w:rsidR="00B3241A" w:rsidRDefault="00B3241A" w:rsidP="00B3241A">
            <w:pPr>
              <w:jc w:val="center"/>
              <w:rPr>
                <w:rFonts w:ascii="宋体" w:hAnsi="宋体" w:cs="宋体"/>
                <w:bCs/>
                <w:sz w:val="24"/>
                <w:szCs w:val="24"/>
              </w:rPr>
            </w:pPr>
            <w:r>
              <w:rPr>
                <w:rFonts w:ascii="宋体" w:hAnsi="宋体" w:cs="宋体" w:hint="eastAsia"/>
                <w:bCs/>
                <w:sz w:val="24"/>
                <w:szCs w:val="24"/>
              </w:rPr>
              <w:t>批准年度</w:t>
            </w:r>
          </w:p>
        </w:tc>
      </w:tr>
      <w:tr w:rsidR="00B3241A" w14:paraId="389B8C26" w14:textId="77777777" w:rsidTr="00707B21">
        <w:tc>
          <w:tcPr>
            <w:tcW w:w="836" w:type="dxa"/>
          </w:tcPr>
          <w:p w14:paraId="05CC577E" w14:textId="6FD9C46A" w:rsidR="00B3241A" w:rsidRDefault="00B3241A" w:rsidP="00B3241A">
            <w:pPr>
              <w:spacing w:line="520" w:lineRule="exact"/>
              <w:jc w:val="center"/>
              <w:rPr>
                <w:rFonts w:ascii="宋体" w:hAnsi="宋体" w:cs="宋体"/>
                <w:sz w:val="24"/>
                <w:szCs w:val="24"/>
              </w:rPr>
            </w:pPr>
            <w:r>
              <w:rPr>
                <w:rFonts w:ascii="宋体" w:hAnsi="宋体" w:cs="宋体" w:hint="eastAsia"/>
                <w:sz w:val="24"/>
                <w:szCs w:val="24"/>
              </w:rPr>
              <w:t>1</w:t>
            </w:r>
          </w:p>
        </w:tc>
        <w:tc>
          <w:tcPr>
            <w:tcW w:w="2572" w:type="dxa"/>
            <w:vAlign w:val="center"/>
          </w:tcPr>
          <w:p w14:paraId="0B4538A5" w14:textId="70D126B9" w:rsidR="00B3241A" w:rsidRDefault="00B3241A" w:rsidP="00B3241A">
            <w:pPr>
              <w:jc w:val="center"/>
              <w:rPr>
                <w:rFonts w:ascii="宋体" w:hAnsi="宋体" w:cs="宋体"/>
                <w:bCs/>
                <w:sz w:val="24"/>
                <w:szCs w:val="24"/>
              </w:rPr>
            </w:pPr>
            <w:r>
              <w:rPr>
                <w:rFonts w:ascii="宋体" w:hAnsi="宋体" w:cs="宋体" w:hint="eastAsia"/>
                <w:bCs/>
                <w:sz w:val="24"/>
                <w:szCs w:val="24"/>
              </w:rPr>
              <w:t>山西省重点学科</w:t>
            </w:r>
          </w:p>
        </w:tc>
        <w:tc>
          <w:tcPr>
            <w:tcW w:w="1704" w:type="dxa"/>
            <w:vAlign w:val="center"/>
          </w:tcPr>
          <w:p w14:paraId="799ACA6F" w14:textId="6A84194C" w:rsidR="00B3241A" w:rsidRDefault="00B3241A" w:rsidP="00B3241A">
            <w:pPr>
              <w:jc w:val="center"/>
              <w:rPr>
                <w:rFonts w:ascii="宋体" w:hAnsi="宋体" w:cs="宋体"/>
                <w:bCs/>
                <w:sz w:val="24"/>
                <w:szCs w:val="24"/>
              </w:rPr>
            </w:pPr>
            <w:r>
              <w:rPr>
                <w:rFonts w:ascii="宋体" w:hAnsi="宋体" w:cs="宋体" w:hint="eastAsia"/>
                <w:bCs/>
                <w:sz w:val="24"/>
                <w:szCs w:val="24"/>
              </w:rPr>
              <w:t>山西省重点建设学科</w:t>
            </w:r>
          </w:p>
        </w:tc>
        <w:tc>
          <w:tcPr>
            <w:tcW w:w="1705" w:type="dxa"/>
            <w:vAlign w:val="center"/>
          </w:tcPr>
          <w:p w14:paraId="425502E1" w14:textId="77777777" w:rsidR="00B3241A" w:rsidRDefault="00B3241A" w:rsidP="00B3241A">
            <w:pPr>
              <w:jc w:val="center"/>
              <w:rPr>
                <w:rFonts w:ascii="宋体" w:hAnsi="宋体" w:cs="宋体"/>
                <w:bCs/>
                <w:sz w:val="24"/>
                <w:szCs w:val="24"/>
              </w:rPr>
            </w:pPr>
            <w:r>
              <w:rPr>
                <w:rFonts w:ascii="宋体" w:hAnsi="宋体" w:cs="宋体" w:hint="eastAsia"/>
                <w:bCs/>
                <w:sz w:val="24"/>
                <w:szCs w:val="24"/>
              </w:rPr>
              <w:t>山西省教育厅</w:t>
            </w:r>
          </w:p>
        </w:tc>
        <w:tc>
          <w:tcPr>
            <w:tcW w:w="1705" w:type="dxa"/>
            <w:vAlign w:val="center"/>
          </w:tcPr>
          <w:p w14:paraId="525C43A2" w14:textId="1D1187D9" w:rsidR="00B3241A" w:rsidRDefault="00B3241A" w:rsidP="00B3241A">
            <w:pPr>
              <w:jc w:val="center"/>
              <w:rPr>
                <w:rFonts w:ascii="宋体" w:hAnsi="宋体" w:cs="宋体"/>
                <w:bCs/>
                <w:sz w:val="24"/>
                <w:szCs w:val="24"/>
              </w:rPr>
            </w:pPr>
            <w:r>
              <w:rPr>
                <w:rFonts w:ascii="宋体" w:hAnsi="宋体" w:cs="宋体" w:hint="eastAsia"/>
                <w:bCs/>
                <w:sz w:val="24"/>
                <w:szCs w:val="24"/>
              </w:rPr>
              <w:t>20</w:t>
            </w:r>
            <w:r>
              <w:rPr>
                <w:rFonts w:ascii="宋体" w:hAnsi="宋体" w:cs="宋体"/>
                <w:bCs/>
                <w:sz w:val="24"/>
                <w:szCs w:val="24"/>
              </w:rPr>
              <w:t>18</w:t>
            </w:r>
          </w:p>
        </w:tc>
      </w:tr>
      <w:tr w:rsidR="00B3241A" w14:paraId="005772B4" w14:textId="77777777" w:rsidTr="00707B21">
        <w:tc>
          <w:tcPr>
            <w:tcW w:w="836" w:type="dxa"/>
          </w:tcPr>
          <w:p w14:paraId="425C4FAB" w14:textId="77777777" w:rsidR="00B3241A" w:rsidRDefault="00B3241A" w:rsidP="00B3241A">
            <w:pPr>
              <w:spacing w:line="520" w:lineRule="exact"/>
              <w:jc w:val="center"/>
              <w:rPr>
                <w:rFonts w:ascii="宋体" w:hAnsi="宋体" w:cs="宋体"/>
                <w:sz w:val="24"/>
                <w:szCs w:val="24"/>
              </w:rPr>
            </w:pPr>
            <w:r>
              <w:rPr>
                <w:rFonts w:ascii="宋体" w:hAnsi="宋体" w:cs="宋体" w:hint="eastAsia"/>
                <w:sz w:val="24"/>
                <w:szCs w:val="24"/>
              </w:rPr>
              <w:t>2</w:t>
            </w:r>
          </w:p>
        </w:tc>
        <w:tc>
          <w:tcPr>
            <w:tcW w:w="2572" w:type="dxa"/>
            <w:vAlign w:val="center"/>
          </w:tcPr>
          <w:p w14:paraId="3A93F49C" w14:textId="77777777" w:rsidR="00B3241A" w:rsidRDefault="00B3241A" w:rsidP="00B3241A">
            <w:pPr>
              <w:jc w:val="center"/>
              <w:rPr>
                <w:rFonts w:ascii="宋体" w:hAnsi="宋体" w:cs="宋体"/>
                <w:bCs/>
                <w:sz w:val="24"/>
                <w:szCs w:val="24"/>
              </w:rPr>
            </w:pPr>
            <w:r>
              <w:rPr>
                <w:rFonts w:ascii="宋体" w:hAnsi="宋体" w:cs="宋体" w:hint="eastAsia"/>
                <w:bCs/>
                <w:sz w:val="24"/>
                <w:szCs w:val="24"/>
              </w:rPr>
              <w:t>国家级一流本科</w:t>
            </w:r>
          </w:p>
          <w:p w14:paraId="6A691FFF" w14:textId="3476547C" w:rsidR="00B3241A" w:rsidRDefault="00B3241A" w:rsidP="00B3241A">
            <w:pPr>
              <w:jc w:val="center"/>
              <w:rPr>
                <w:rFonts w:ascii="宋体" w:hAnsi="宋体" w:cs="宋体"/>
                <w:bCs/>
                <w:sz w:val="24"/>
                <w:szCs w:val="24"/>
              </w:rPr>
            </w:pPr>
            <w:r>
              <w:rPr>
                <w:rFonts w:ascii="宋体" w:hAnsi="宋体" w:cs="宋体" w:hint="eastAsia"/>
                <w:bCs/>
                <w:sz w:val="24"/>
                <w:szCs w:val="24"/>
              </w:rPr>
              <w:t>专业建设</w:t>
            </w:r>
          </w:p>
        </w:tc>
        <w:tc>
          <w:tcPr>
            <w:tcW w:w="1704" w:type="dxa"/>
            <w:vAlign w:val="center"/>
          </w:tcPr>
          <w:p w14:paraId="5DFD6169" w14:textId="4C416285" w:rsidR="00B3241A" w:rsidRDefault="00B3241A" w:rsidP="00B3241A">
            <w:pPr>
              <w:jc w:val="center"/>
              <w:rPr>
                <w:rFonts w:ascii="宋体" w:hAnsi="宋体" w:cs="宋体"/>
                <w:bCs/>
                <w:sz w:val="24"/>
                <w:szCs w:val="24"/>
              </w:rPr>
            </w:pPr>
            <w:r>
              <w:rPr>
                <w:rFonts w:ascii="宋体" w:hAnsi="宋体" w:cs="宋体" w:hint="eastAsia"/>
                <w:bCs/>
                <w:sz w:val="24"/>
                <w:szCs w:val="24"/>
              </w:rPr>
              <w:t>国家级一流本科专业建设点</w:t>
            </w:r>
          </w:p>
        </w:tc>
        <w:tc>
          <w:tcPr>
            <w:tcW w:w="1705" w:type="dxa"/>
            <w:vAlign w:val="center"/>
          </w:tcPr>
          <w:p w14:paraId="5C8EE8F0" w14:textId="1A22D267" w:rsidR="00B3241A" w:rsidRDefault="00B3241A" w:rsidP="00B3241A">
            <w:pPr>
              <w:jc w:val="center"/>
              <w:rPr>
                <w:rFonts w:ascii="宋体" w:hAnsi="宋体" w:cs="宋体"/>
                <w:bCs/>
                <w:sz w:val="24"/>
                <w:szCs w:val="24"/>
              </w:rPr>
            </w:pPr>
            <w:r>
              <w:rPr>
                <w:rFonts w:ascii="宋体" w:hAnsi="宋体" w:cs="宋体" w:hint="eastAsia"/>
                <w:bCs/>
                <w:sz w:val="24"/>
                <w:szCs w:val="24"/>
              </w:rPr>
              <w:t>教育部</w:t>
            </w:r>
          </w:p>
        </w:tc>
        <w:tc>
          <w:tcPr>
            <w:tcW w:w="1705" w:type="dxa"/>
            <w:vAlign w:val="center"/>
          </w:tcPr>
          <w:p w14:paraId="718B1953" w14:textId="2F048DA4" w:rsidR="00B3241A" w:rsidRDefault="00B3241A" w:rsidP="00B3241A">
            <w:pPr>
              <w:jc w:val="center"/>
              <w:rPr>
                <w:rFonts w:ascii="宋体" w:hAnsi="宋体" w:cs="宋体"/>
                <w:bCs/>
                <w:sz w:val="24"/>
                <w:szCs w:val="24"/>
              </w:rPr>
            </w:pPr>
            <w:r>
              <w:rPr>
                <w:rFonts w:ascii="宋体" w:hAnsi="宋体" w:cs="宋体" w:hint="eastAsia"/>
                <w:bCs/>
                <w:sz w:val="24"/>
                <w:szCs w:val="24"/>
              </w:rPr>
              <w:t>2</w:t>
            </w:r>
            <w:r>
              <w:rPr>
                <w:rFonts w:ascii="宋体" w:hAnsi="宋体" w:cs="宋体"/>
                <w:bCs/>
                <w:sz w:val="24"/>
                <w:szCs w:val="24"/>
              </w:rPr>
              <w:t>019</w:t>
            </w:r>
          </w:p>
        </w:tc>
      </w:tr>
    </w:tbl>
    <w:p w14:paraId="0C544C48" w14:textId="77777777" w:rsidR="00B3241A" w:rsidRPr="00E3342E" w:rsidRDefault="00B3241A" w:rsidP="00B3241A">
      <w:pPr>
        <w:spacing w:line="360" w:lineRule="auto"/>
        <w:jc w:val="left"/>
        <w:rPr>
          <w:rFonts w:asciiTheme="minorEastAsia" w:hAnsiTheme="minorEastAsia"/>
          <w:sz w:val="24"/>
          <w:szCs w:val="24"/>
        </w:rPr>
      </w:pPr>
    </w:p>
    <w:p w14:paraId="5DACDD3F" w14:textId="74725874" w:rsidR="00303EF9" w:rsidRDefault="004E64ED" w:rsidP="00303EF9">
      <w:pPr>
        <w:rPr>
          <w:rFonts w:asciiTheme="minorEastAsia" w:hAnsiTheme="minorEastAsia"/>
          <w:b/>
          <w:sz w:val="28"/>
          <w:szCs w:val="28"/>
        </w:rPr>
      </w:pPr>
      <w:r>
        <w:rPr>
          <w:rFonts w:asciiTheme="minorEastAsia" w:hAnsiTheme="minorEastAsia" w:hint="eastAsia"/>
          <w:b/>
          <w:sz w:val="28"/>
          <w:szCs w:val="28"/>
        </w:rPr>
        <w:t>二、2020年</w:t>
      </w:r>
      <w:r w:rsidR="00303EF9" w:rsidRPr="00303EF9">
        <w:rPr>
          <w:rFonts w:asciiTheme="minorEastAsia" w:hAnsiTheme="minorEastAsia" w:hint="eastAsia"/>
          <w:b/>
          <w:sz w:val="28"/>
          <w:szCs w:val="28"/>
        </w:rPr>
        <w:t>建设取得的成绩</w:t>
      </w:r>
    </w:p>
    <w:p w14:paraId="4D9CB508" w14:textId="77777777" w:rsidR="002D6314" w:rsidRPr="002D6314" w:rsidRDefault="002D6314" w:rsidP="002D6314">
      <w:pPr>
        <w:spacing w:line="520" w:lineRule="exact"/>
        <w:ind w:firstLineChars="200" w:firstLine="482"/>
        <w:rPr>
          <w:rFonts w:ascii="宋体" w:eastAsia="宋体" w:hAnsi="宋体" w:cs="宋体"/>
          <w:b/>
          <w:bCs/>
          <w:sz w:val="24"/>
          <w:szCs w:val="24"/>
        </w:rPr>
      </w:pPr>
      <w:r w:rsidRPr="002D6314">
        <w:rPr>
          <w:rFonts w:ascii="宋体" w:eastAsia="宋体" w:hAnsi="宋体" w:cs="宋体" w:hint="eastAsia"/>
          <w:b/>
          <w:bCs/>
          <w:sz w:val="24"/>
          <w:szCs w:val="24"/>
        </w:rPr>
        <w:t>1.制度建设</w:t>
      </w:r>
    </w:p>
    <w:p w14:paraId="0FD9D1F2" w14:textId="77777777" w:rsidR="002D6314" w:rsidRPr="002D6314" w:rsidRDefault="002D6314" w:rsidP="002D6314">
      <w:pPr>
        <w:spacing w:line="520" w:lineRule="exact"/>
        <w:ind w:firstLineChars="200" w:firstLine="480"/>
        <w:rPr>
          <w:rFonts w:ascii="宋体" w:eastAsia="宋体" w:hAnsi="宋体" w:cs="宋体"/>
          <w:color w:val="000000"/>
          <w:sz w:val="24"/>
          <w:szCs w:val="24"/>
        </w:rPr>
      </w:pPr>
      <w:r w:rsidRPr="002D6314">
        <w:rPr>
          <w:rFonts w:ascii="宋体" w:eastAsia="宋体" w:hAnsi="宋体" w:cs="宋体" w:hint="eastAsia"/>
          <w:color w:val="000000"/>
          <w:sz w:val="24"/>
          <w:szCs w:val="24"/>
        </w:rPr>
        <w:t>学校对《山西大学研究生学籍管理规定》、《山西大学研究生教务管理工作规定》、《山西大学研究生日常行为规则》、《山西大学研究生违纪处分实施细则》等规定进行了修订，同时新制订《山西大学创新实践学分管理办法》、《山西大学研</w:t>
      </w:r>
      <w:r w:rsidRPr="002D6314">
        <w:rPr>
          <w:rFonts w:ascii="宋体" w:eastAsia="宋体" w:hAnsi="宋体" w:cs="宋体" w:hint="eastAsia"/>
          <w:color w:val="000000"/>
          <w:sz w:val="24"/>
          <w:szCs w:val="24"/>
        </w:rPr>
        <w:lastRenderedPageBreak/>
        <w:t>究生诚信教育实施办法》、《山西大学研究生中期考核及分流淘汰管理办法》、《山西大学研究生申诉处理暂行办法》，进一步推进依法治校，全面尊重和保障研究生的相关权益。</w:t>
      </w:r>
    </w:p>
    <w:p w14:paraId="3257E2D1" w14:textId="77777777" w:rsidR="002D6314" w:rsidRPr="002D6314" w:rsidRDefault="002D6314" w:rsidP="002D6314">
      <w:pPr>
        <w:spacing w:line="520" w:lineRule="exact"/>
        <w:ind w:firstLineChars="200" w:firstLine="482"/>
        <w:rPr>
          <w:rFonts w:ascii="宋体" w:eastAsia="宋体" w:hAnsi="宋体" w:cs="宋体"/>
          <w:b/>
          <w:bCs/>
          <w:sz w:val="24"/>
          <w:szCs w:val="24"/>
        </w:rPr>
      </w:pPr>
      <w:r w:rsidRPr="002D6314">
        <w:rPr>
          <w:rFonts w:ascii="宋体" w:eastAsia="宋体" w:hAnsi="宋体" w:cs="宋体" w:hint="eastAsia"/>
          <w:b/>
          <w:bCs/>
          <w:sz w:val="24"/>
          <w:szCs w:val="24"/>
        </w:rPr>
        <w:t>2.导师队伍建设（导师评聘、师德师风、导师指导等）</w:t>
      </w:r>
    </w:p>
    <w:p w14:paraId="70A544B7" w14:textId="550B319B" w:rsidR="002D6314" w:rsidRPr="002D6314" w:rsidRDefault="002D6314" w:rsidP="002D6314">
      <w:pPr>
        <w:spacing w:line="520" w:lineRule="exact"/>
        <w:ind w:firstLineChars="200" w:firstLine="482"/>
        <w:rPr>
          <w:rFonts w:ascii="宋体" w:eastAsia="宋体" w:hAnsi="宋体" w:cs="宋体"/>
          <w:sz w:val="24"/>
          <w:szCs w:val="24"/>
        </w:rPr>
      </w:pPr>
      <w:r w:rsidRPr="002D6314">
        <w:rPr>
          <w:rFonts w:ascii="宋体" w:eastAsia="宋体" w:hAnsi="宋体" w:cs="宋体" w:hint="eastAsia"/>
          <w:b/>
          <w:bCs/>
          <w:sz w:val="24"/>
          <w:szCs w:val="24"/>
        </w:rPr>
        <w:t>导师评聘</w:t>
      </w:r>
      <w:r w:rsidRPr="002D6314">
        <w:rPr>
          <w:rFonts w:ascii="宋体" w:eastAsia="宋体" w:hAnsi="宋体" w:cs="宋体" w:hint="eastAsia"/>
          <w:sz w:val="24"/>
          <w:szCs w:val="24"/>
        </w:rPr>
        <w:t>：按照学校要求，推动选聘分离，打破导师终身制，引入竞争机制，实行导师招生资格年度审核制度，进一步明确审核条件，动态调整导师招生资格和招生指标，明确在读研究生和招生计划封顶制度和跨学科指导研究生条件，实施高端人才招生计划奖励政策；强化新聘导师的培训制度，有效激发导师的工作积极性、主动性，保障了研究生培养质量。2020年</w:t>
      </w:r>
      <w:r>
        <w:rPr>
          <w:rFonts w:ascii="宋体" w:eastAsia="宋体" w:hAnsi="宋体" w:cs="宋体" w:hint="eastAsia"/>
          <w:sz w:val="24"/>
          <w:szCs w:val="24"/>
        </w:rPr>
        <w:t>世界</w:t>
      </w:r>
      <w:r w:rsidRPr="002D6314">
        <w:rPr>
          <w:rFonts w:ascii="宋体" w:eastAsia="宋体" w:hAnsi="宋体" w:cs="宋体" w:hint="eastAsia"/>
          <w:sz w:val="24"/>
          <w:szCs w:val="24"/>
        </w:rPr>
        <w:t>史学科评聘博士生导师</w:t>
      </w:r>
      <w:r>
        <w:rPr>
          <w:rFonts w:ascii="宋体" w:eastAsia="宋体" w:hAnsi="宋体" w:cs="宋体"/>
          <w:sz w:val="24"/>
          <w:szCs w:val="24"/>
        </w:rPr>
        <w:t>2</w:t>
      </w:r>
      <w:r w:rsidRPr="002D6314">
        <w:rPr>
          <w:rFonts w:ascii="宋体" w:eastAsia="宋体" w:hAnsi="宋体" w:cs="宋体" w:hint="eastAsia"/>
          <w:sz w:val="24"/>
          <w:szCs w:val="24"/>
        </w:rPr>
        <w:t>人</w:t>
      </w:r>
      <w:r w:rsidR="00BF1FBA">
        <w:rPr>
          <w:rFonts w:ascii="宋体" w:eastAsia="宋体" w:hAnsi="宋体" w:cs="宋体" w:hint="eastAsia"/>
          <w:sz w:val="24"/>
          <w:szCs w:val="24"/>
        </w:rPr>
        <w:t>，副教授1人</w:t>
      </w:r>
      <w:r w:rsidRPr="002D6314">
        <w:rPr>
          <w:rFonts w:ascii="宋体" w:eastAsia="宋体" w:hAnsi="宋体" w:cs="宋体" w:hint="eastAsia"/>
          <w:sz w:val="24"/>
          <w:szCs w:val="24"/>
        </w:rPr>
        <w:t>。</w:t>
      </w:r>
    </w:p>
    <w:p w14:paraId="0F4A03B0" w14:textId="1FE95C22" w:rsidR="002D6314" w:rsidRPr="002D6314" w:rsidRDefault="002D6314" w:rsidP="002D6314">
      <w:pPr>
        <w:spacing w:line="520" w:lineRule="exact"/>
        <w:ind w:firstLineChars="200" w:firstLine="482"/>
        <w:rPr>
          <w:rFonts w:ascii="宋体" w:eastAsia="宋体" w:hAnsi="宋体" w:cs="宋体"/>
          <w:bCs/>
          <w:sz w:val="24"/>
          <w:szCs w:val="24"/>
        </w:rPr>
      </w:pPr>
      <w:r w:rsidRPr="002D6314">
        <w:rPr>
          <w:rFonts w:ascii="宋体" w:eastAsia="宋体" w:hAnsi="宋体" w:cs="宋体" w:hint="eastAsia"/>
          <w:b/>
          <w:bCs/>
          <w:sz w:val="24"/>
          <w:szCs w:val="24"/>
        </w:rPr>
        <w:t>师德师风：</w:t>
      </w:r>
      <w:r w:rsidRPr="002D6314">
        <w:rPr>
          <w:rFonts w:ascii="宋体" w:eastAsia="宋体" w:hAnsi="宋体" w:cs="宋体" w:hint="eastAsia"/>
          <w:bCs/>
          <w:sz w:val="24"/>
          <w:szCs w:val="24"/>
        </w:rPr>
        <w:t>学院在学术委员会指导下，设有师德师风建设领导组，健全了“党委统一领导、党政齐抓共管”的工作机制。将师德师风与党建、意识形态、</w:t>
      </w:r>
      <w:proofErr w:type="gramStart"/>
      <w:r w:rsidRPr="002D6314">
        <w:rPr>
          <w:rFonts w:ascii="宋体" w:eastAsia="宋体" w:hAnsi="宋体" w:cs="宋体" w:hint="eastAsia"/>
          <w:bCs/>
          <w:sz w:val="24"/>
          <w:szCs w:val="24"/>
        </w:rPr>
        <w:t>思政教育</w:t>
      </w:r>
      <w:proofErr w:type="gramEnd"/>
      <w:r w:rsidRPr="002D6314">
        <w:rPr>
          <w:rFonts w:ascii="宋体" w:eastAsia="宋体" w:hAnsi="宋体" w:cs="宋体" w:hint="eastAsia"/>
          <w:bCs/>
          <w:sz w:val="24"/>
          <w:szCs w:val="24"/>
        </w:rPr>
        <w:t>有机结合，发挥本学科优势，从历史中</w:t>
      </w:r>
      <w:proofErr w:type="gramStart"/>
      <w:r w:rsidRPr="002D6314">
        <w:rPr>
          <w:rFonts w:ascii="宋体" w:eastAsia="宋体" w:hAnsi="宋体" w:cs="宋体" w:hint="eastAsia"/>
          <w:bCs/>
          <w:sz w:val="24"/>
          <w:szCs w:val="24"/>
        </w:rPr>
        <w:t>发掘思政育人</w:t>
      </w:r>
      <w:proofErr w:type="gramEnd"/>
      <w:r w:rsidRPr="002D6314">
        <w:rPr>
          <w:rFonts w:ascii="宋体" w:eastAsia="宋体" w:hAnsi="宋体" w:cs="宋体" w:hint="eastAsia"/>
          <w:bCs/>
          <w:sz w:val="24"/>
          <w:szCs w:val="24"/>
        </w:rPr>
        <w:t>特色案例，引导师生</w:t>
      </w:r>
      <w:proofErr w:type="gramStart"/>
      <w:r w:rsidRPr="002D6314">
        <w:rPr>
          <w:rFonts w:ascii="宋体" w:eastAsia="宋体" w:hAnsi="宋体" w:cs="宋体" w:hint="eastAsia"/>
          <w:bCs/>
          <w:sz w:val="24"/>
          <w:szCs w:val="24"/>
        </w:rPr>
        <w:t>践行</w:t>
      </w:r>
      <w:proofErr w:type="gramEnd"/>
      <w:r w:rsidRPr="002D6314">
        <w:rPr>
          <w:rFonts w:ascii="宋体" w:eastAsia="宋体" w:hAnsi="宋体" w:cs="宋体" w:hint="eastAsia"/>
          <w:bCs/>
          <w:sz w:val="24"/>
          <w:szCs w:val="24"/>
        </w:rPr>
        <w:t>社会主义核心价值观，并将其融入教育教学全过程。从思想、环境、网络、课堂、课余五个方面构建学科文化氛围，营造良好师德师风人文环境。充分发挥山西省爱国主义教育基地在</w:t>
      </w:r>
      <w:r w:rsidRPr="002D6314">
        <w:rPr>
          <w:rFonts w:ascii="宋体" w:eastAsia="宋体" w:hAnsi="宋体" w:cs="宋体" w:hint="eastAsia"/>
          <w:sz w:val="24"/>
          <w:szCs w:val="24"/>
        </w:rPr>
        <w:t>党史国史教育、红色革命文化、传统文化教育等方面的作用</w:t>
      </w:r>
      <w:r w:rsidRPr="002D6314">
        <w:rPr>
          <w:rFonts w:ascii="宋体" w:eastAsia="宋体" w:hAnsi="宋体" w:cs="宋体" w:hint="eastAsia"/>
          <w:bCs/>
          <w:sz w:val="24"/>
          <w:szCs w:val="24"/>
        </w:rPr>
        <w:t>，积极开展主题党日等活动，引导教师树立教书育人的坚定信念。2020年本学科有</w:t>
      </w:r>
      <w:r w:rsidR="00B13B09">
        <w:rPr>
          <w:rFonts w:ascii="宋体" w:eastAsia="宋体" w:hAnsi="宋体" w:cs="宋体"/>
          <w:bCs/>
          <w:sz w:val="24"/>
          <w:szCs w:val="24"/>
        </w:rPr>
        <w:t>1</w:t>
      </w:r>
      <w:r w:rsidRPr="002D6314">
        <w:rPr>
          <w:rFonts w:ascii="宋体" w:eastAsia="宋体" w:hAnsi="宋体" w:cs="宋体" w:hint="eastAsia"/>
          <w:bCs/>
          <w:sz w:val="24"/>
          <w:szCs w:val="24"/>
        </w:rPr>
        <w:t>名教师获山西大学</w:t>
      </w:r>
      <w:r w:rsidR="00B13B09">
        <w:rPr>
          <w:rFonts w:ascii="宋体" w:eastAsia="宋体" w:hAnsi="宋体" w:cs="宋体" w:hint="eastAsia"/>
          <w:bCs/>
          <w:sz w:val="24"/>
          <w:szCs w:val="24"/>
        </w:rPr>
        <w:t>“</w:t>
      </w:r>
      <w:r w:rsidR="00B13B09" w:rsidRPr="00B13B09">
        <w:rPr>
          <w:rFonts w:ascii="宋体" w:eastAsia="宋体" w:hAnsi="宋体" w:cs="宋体" w:hint="eastAsia"/>
          <w:bCs/>
          <w:sz w:val="24"/>
          <w:szCs w:val="24"/>
        </w:rPr>
        <w:t>师德师风十佳标兵</w:t>
      </w:r>
      <w:r w:rsidR="00B13B09">
        <w:rPr>
          <w:rFonts w:ascii="宋体" w:eastAsia="宋体" w:hAnsi="宋体" w:cs="宋体" w:hint="eastAsia"/>
          <w:bCs/>
          <w:sz w:val="24"/>
          <w:szCs w:val="24"/>
        </w:rPr>
        <w:t>”</w:t>
      </w:r>
      <w:r w:rsidRPr="002D6314">
        <w:rPr>
          <w:rFonts w:ascii="宋体" w:eastAsia="宋体" w:hAnsi="宋体" w:cs="宋体" w:hint="eastAsia"/>
          <w:bCs/>
          <w:sz w:val="24"/>
          <w:szCs w:val="24"/>
        </w:rPr>
        <w:t>称号。</w:t>
      </w:r>
    </w:p>
    <w:p w14:paraId="257C3D4C" w14:textId="77777777" w:rsidR="002D6314" w:rsidRPr="002D6314" w:rsidRDefault="002D6314" w:rsidP="002D6314">
      <w:pPr>
        <w:spacing w:line="520" w:lineRule="exact"/>
        <w:ind w:firstLineChars="200" w:firstLine="482"/>
        <w:rPr>
          <w:rFonts w:ascii="宋体" w:eastAsia="宋体" w:hAnsi="宋体" w:cs="宋体"/>
          <w:color w:val="000000"/>
          <w:sz w:val="24"/>
          <w:szCs w:val="24"/>
        </w:rPr>
      </w:pPr>
      <w:r w:rsidRPr="002D6314">
        <w:rPr>
          <w:rFonts w:ascii="宋体" w:eastAsia="宋体" w:hAnsi="宋体" w:cs="宋体" w:hint="eastAsia"/>
          <w:b/>
          <w:bCs/>
          <w:sz w:val="24"/>
          <w:szCs w:val="24"/>
        </w:rPr>
        <w:t>导师指导：</w:t>
      </w:r>
      <w:r w:rsidRPr="002D6314">
        <w:rPr>
          <w:rFonts w:ascii="宋体" w:eastAsia="宋体" w:hAnsi="宋体" w:cs="宋体" w:hint="eastAsia"/>
          <w:color w:val="000000"/>
          <w:sz w:val="24"/>
          <w:szCs w:val="24"/>
        </w:rPr>
        <w:t>（1）学术方面：导师全面负责所指导研究生的学术成长，研究生入学之初，导师应给所指导研究生开列专业书目。导师对研究生学位论文的选题、论著阅读、资料搜集、田野调查、论文撰写、答辩应负起直接的指导之责。（2）道德方面：导师应要求研究生高度重视学术道德，严守道德底线，杜绝学术不端行为，做到不抄袭、不一稿多投、</w:t>
      </w:r>
      <w:proofErr w:type="gramStart"/>
      <w:r w:rsidRPr="002D6314">
        <w:rPr>
          <w:rFonts w:ascii="宋体" w:eastAsia="宋体" w:hAnsi="宋体" w:cs="宋体" w:hint="eastAsia"/>
          <w:color w:val="000000"/>
          <w:sz w:val="24"/>
          <w:szCs w:val="24"/>
        </w:rPr>
        <w:t>不</w:t>
      </w:r>
      <w:proofErr w:type="gramEnd"/>
      <w:r w:rsidRPr="002D6314">
        <w:rPr>
          <w:rFonts w:ascii="宋体" w:eastAsia="宋体" w:hAnsi="宋体" w:cs="宋体" w:hint="eastAsia"/>
          <w:color w:val="000000"/>
          <w:sz w:val="24"/>
          <w:szCs w:val="24"/>
        </w:rPr>
        <w:t>数据造假、不购买论文等，形成敬畏学术、诚信为学的良好品质。（3）管理方面：导师有责任要求所指导的研究生遵守法律、遵守学校的各项规章制度、遵守学院的相关规定；研究生如有事离校，首先应向各自导师请假，然后再向研究生班主任请假。师生之间应执行每周至少见面一次</w:t>
      </w:r>
      <w:r w:rsidRPr="002D6314">
        <w:rPr>
          <w:rFonts w:ascii="宋体" w:eastAsia="宋体" w:hAnsi="宋体" w:cs="宋体" w:hint="eastAsia"/>
          <w:color w:val="000000"/>
          <w:sz w:val="24"/>
          <w:szCs w:val="24"/>
        </w:rPr>
        <w:lastRenderedPageBreak/>
        <w:t>的规定。</w:t>
      </w:r>
    </w:p>
    <w:p w14:paraId="2A485597" w14:textId="77777777" w:rsidR="002D6314" w:rsidRPr="002D6314" w:rsidRDefault="002D6314" w:rsidP="002D6314">
      <w:pPr>
        <w:spacing w:line="520" w:lineRule="exact"/>
        <w:ind w:firstLineChars="200" w:firstLine="482"/>
        <w:rPr>
          <w:rFonts w:ascii="宋体" w:eastAsia="宋体" w:hAnsi="宋体" w:cs="宋体"/>
          <w:b/>
          <w:bCs/>
          <w:sz w:val="24"/>
          <w:szCs w:val="24"/>
        </w:rPr>
      </w:pPr>
      <w:r w:rsidRPr="002D6314">
        <w:rPr>
          <w:rFonts w:ascii="宋体" w:eastAsia="宋体" w:hAnsi="宋体" w:cs="宋体" w:hint="eastAsia"/>
          <w:b/>
          <w:bCs/>
          <w:sz w:val="24"/>
          <w:szCs w:val="24"/>
        </w:rPr>
        <w:t>3.研究生招生</w:t>
      </w:r>
    </w:p>
    <w:p w14:paraId="3408588C" w14:textId="4A9AEC33" w:rsidR="002D6314" w:rsidRPr="002D6314" w:rsidRDefault="002D6314" w:rsidP="002D6314">
      <w:pPr>
        <w:spacing w:line="520" w:lineRule="exact"/>
        <w:ind w:firstLineChars="200" w:firstLine="480"/>
        <w:rPr>
          <w:rFonts w:ascii="宋体" w:eastAsia="宋体" w:hAnsi="宋体" w:cs="宋体"/>
          <w:color w:val="000000"/>
          <w:sz w:val="24"/>
          <w:szCs w:val="24"/>
        </w:rPr>
      </w:pPr>
      <w:r w:rsidRPr="002D6314">
        <w:rPr>
          <w:rFonts w:ascii="宋体" w:eastAsia="宋体" w:hAnsi="宋体" w:cs="宋体" w:hint="eastAsia"/>
          <w:color w:val="000000"/>
          <w:sz w:val="24"/>
          <w:szCs w:val="24"/>
        </w:rPr>
        <w:t>学院积极应对国家政策调整，推进研究生“生源质量保障”工程，相继出台了鼓励优秀本科生和硕士生通过推免、硕博连读的方式继续在本校深造的一系列专项奖学金政策，严格导师招生资格审核和复试督查制度，在地方高校普遍面临严峻形势的情况下，稳定和提高了生源质量。2020年</w:t>
      </w:r>
      <w:r w:rsidR="00B13B09">
        <w:rPr>
          <w:rFonts w:ascii="宋体" w:eastAsia="宋体" w:hAnsi="宋体" w:cs="宋体" w:hint="eastAsia"/>
          <w:color w:val="000000"/>
          <w:sz w:val="24"/>
          <w:szCs w:val="24"/>
        </w:rPr>
        <w:t>世界</w:t>
      </w:r>
      <w:r w:rsidRPr="002D6314">
        <w:rPr>
          <w:rFonts w:ascii="宋体" w:eastAsia="宋体" w:hAnsi="宋体" w:cs="宋体" w:hint="eastAsia"/>
          <w:color w:val="000000"/>
          <w:sz w:val="24"/>
          <w:szCs w:val="24"/>
        </w:rPr>
        <w:t>史学科共招收硕士生</w:t>
      </w:r>
      <w:r w:rsidR="000476A0">
        <w:rPr>
          <w:rFonts w:ascii="宋体" w:eastAsia="宋体" w:hAnsi="宋体" w:cs="宋体"/>
          <w:color w:val="000000"/>
          <w:sz w:val="24"/>
          <w:szCs w:val="24"/>
        </w:rPr>
        <w:t>7</w:t>
      </w:r>
      <w:r w:rsidRPr="002D6314">
        <w:rPr>
          <w:rFonts w:ascii="宋体" w:eastAsia="宋体" w:hAnsi="宋体" w:cs="宋体" w:hint="eastAsia"/>
          <w:color w:val="000000"/>
          <w:sz w:val="24"/>
          <w:szCs w:val="24"/>
        </w:rPr>
        <w:t>名。</w:t>
      </w:r>
    </w:p>
    <w:p w14:paraId="3F39D2C5" w14:textId="77777777" w:rsidR="002D6314" w:rsidRPr="002D6314" w:rsidRDefault="002D6314" w:rsidP="002D6314">
      <w:pPr>
        <w:spacing w:line="520" w:lineRule="exact"/>
        <w:ind w:firstLineChars="200" w:firstLine="482"/>
        <w:rPr>
          <w:rFonts w:ascii="宋体" w:eastAsia="宋体" w:hAnsi="宋体" w:cs="宋体"/>
          <w:b/>
          <w:bCs/>
          <w:sz w:val="24"/>
          <w:szCs w:val="24"/>
        </w:rPr>
      </w:pPr>
      <w:r w:rsidRPr="002D6314">
        <w:rPr>
          <w:rFonts w:ascii="宋体" w:eastAsia="宋体" w:hAnsi="宋体" w:cs="宋体" w:hint="eastAsia"/>
          <w:b/>
          <w:bCs/>
          <w:sz w:val="24"/>
          <w:szCs w:val="24"/>
        </w:rPr>
        <w:t>4.研究生培养（</w:t>
      </w:r>
      <w:proofErr w:type="gramStart"/>
      <w:r w:rsidRPr="002D6314">
        <w:rPr>
          <w:rFonts w:ascii="宋体" w:eastAsia="宋体" w:hAnsi="宋体" w:cs="宋体" w:hint="eastAsia"/>
          <w:b/>
          <w:bCs/>
          <w:sz w:val="24"/>
          <w:szCs w:val="24"/>
        </w:rPr>
        <w:t>思政教育</w:t>
      </w:r>
      <w:proofErr w:type="gramEnd"/>
      <w:r w:rsidRPr="002D6314">
        <w:rPr>
          <w:rFonts w:ascii="宋体" w:eastAsia="宋体" w:hAnsi="宋体" w:cs="宋体" w:hint="eastAsia"/>
          <w:b/>
          <w:bCs/>
          <w:sz w:val="24"/>
          <w:szCs w:val="24"/>
        </w:rPr>
        <w:t>、课程教学、学术训练、学术交流、论文质量、学风建设等）</w:t>
      </w:r>
    </w:p>
    <w:p w14:paraId="2857963A" w14:textId="147A0CBE" w:rsidR="002D6314" w:rsidRPr="002D6314" w:rsidRDefault="002D6314" w:rsidP="002D6314">
      <w:pPr>
        <w:spacing w:line="520" w:lineRule="exact"/>
        <w:ind w:firstLineChars="200" w:firstLine="482"/>
        <w:rPr>
          <w:rFonts w:ascii="宋体" w:eastAsia="宋体" w:hAnsi="宋体" w:cs="宋体"/>
          <w:bCs/>
          <w:sz w:val="24"/>
          <w:szCs w:val="24"/>
        </w:rPr>
      </w:pPr>
      <w:proofErr w:type="gramStart"/>
      <w:r w:rsidRPr="002D6314">
        <w:rPr>
          <w:rFonts w:ascii="宋体" w:eastAsia="宋体" w:hAnsi="宋体" w:cs="宋体" w:hint="eastAsia"/>
          <w:b/>
          <w:bCs/>
          <w:sz w:val="24"/>
          <w:szCs w:val="24"/>
        </w:rPr>
        <w:t>思政教育</w:t>
      </w:r>
      <w:proofErr w:type="gramEnd"/>
      <w:r w:rsidRPr="002D6314">
        <w:rPr>
          <w:rFonts w:ascii="宋体" w:eastAsia="宋体" w:hAnsi="宋体" w:cs="宋体" w:hint="eastAsia"/>
          <w:b/>
          <w:bCs/>
          <w:sz w:val="24"/>
          <w:szCs w:val="24"/>
        </w:rPr>
        <w:t>：</w:t>
      </w:r>
      <w:r w:rsidR="000476A0" w:rsidRPr="000476A0">
        <w:rPr>
          <w:rFonts w:ascii="宋体" w:eastAsia="宋体" w:hAnsi="宋体" w:cs="宋体" w:hint="eastAsia"/>
          <w:bCs/>
          <w:sz w:val="24"/>
          <w:szCs w:val="24"/>
        </w:rPr>
        <w:t>本</w:t>
      </w:r>
      <w:r w:rsidRPr="002D6314">
        <w:rPr>
          <w:rFonts w:ascii="宋体" w:eastAsia="宋体" w:hAnsi="宋体" w:cs="宋体" w:hint="eastAsia"/>
          <w:bCs/>
          <w:sz w:val="24"/>
          <w:szCs w:val="24"/>
        </w:rPr>
        <w:t>学科所在学院党委高度重视基层党组织建设，以党的领导作为根本政治保证，顺应学科建设需求，确保党的组织与学术组织建设同步一体，同向发力，确保学科和专业实现党组织全覆盖，强化党建的服务保障作用，以党的政治建设为统领，不断提高学科建设工作水平。将新时代中国特色社会主义思想贯穿于学生思想教育当中，将</w:t>
      </w:r>
      <w:proofErr w:type="gramStart"/>
      <w:r w:rsidRPr="002D6314">
        <w:rPr>
          <w:rFonts w:ascii="宋体" w:eastAsia="宋体" w:hAnsi="宋体" w:cs="宋体" w:hint="eastAsia"/>
          <w:bCs/>
          <w:sz w:val="24"/>
          <w:szCs w:val="24"/>
        </w:rPr>
        <w:t>思政教育</w:t>
      </w:r>
      <w:proofErr w:type="gramEnd"/>
      <w:r w:rsidRPr="002D6314">
        <w:rPr>
          <w:rFonts w:ascii="宋体" w:eastAsia="宋体" w:hAnsi="宋体" w:cs="宋体" w:hint="eastAsia"/>
          <w:bCs/>
          <w:sz w:val="24"/>
          <w:szCs w:val="24"/>
        </w:rPr>
        <w:t>融入到专业课堂中，将</w:t>
      </w:r>
      <w:proofErr w:type="gramStart"/>
      <w:r w:rsidRPr="002D6314">
        <w:rPr>
          <w:rFonts w:ascii="宋体" w:eastAsia="宋体" w:hAnsi="宋体" w:cs="宋体" w:hint="eastAsia"/>
          <w:bCs/>
          <w:sz w:val="24"/>
          <w:szCs w:val="24"/>
        </w:rPr>
        <w:t>思政教育</w:t>
      </w:r>
      <w:proofErr w:type="gramEnd"/>
      <w:r w:rsidRPr="002D6314">
        <w:rPr>
          <w:rFonts w:ascii="宋体" w:eastAsia="宋体" w:hAnsi="宋体" w:cs="宋体" w:hint="eastAsia"/>
          <w:bCs/>
          <w:sz w:val="24"/>
          <w:szCs w:val="24"/>
        </w:rPr>
        <w:t>与新生入学教育、安全教育、毕业生文明离校教育、学术诚信教育、心理健康教育等日常工作相结合，开展主题演讲、征文、学术讲座、座谈沙龙、风采展示等多种活动，教育引导学生从自身做起，在学习生活中培育和</w:t>
      </w:r>
      <w:proofErr w:type="gramStart"/>
      <w:r w:rsidRPr="002D6314">
        <w:rPr>
          <w:rFonts w:ascii="宋体" w:eastAsia="宋体" w:hAnsi="宋体" w:cs="宋体" w:hint="eastAsia"/>
          <w:bCs/>
          <w:sz w:val="24"/>
          <w:szCs w:val="24"/>
        </w:rPr>
        <w:t>践行</w:t>
      </w:r>
      <w:proofErr w:type="gramEnd"/>
      <w:r w:rsidRPr="002D6314">
        <w:rPr>
          <w:rFonts w:ascii="宋体" w:eastAsia="宋体" w:hAnsi="宋体" w:cs="宋体" w:hint="eastAsia"/>
          <w:bCs/>
          <w:sz w:val="24"/>
          <w:szCs w:val="24"/>
        </w:rPr>
        <w:t>社会主义核心价值观。</w:t>
      </w:r>
    </w:p>
    <w:p w14:paraId="432AED90" w14:textId="15DBB757" w:rsidR="002D6314" w:rsidRPr="002D6314" w:rsidRDefault="002D6314" w:rsidP="002D6314">
      <w:pPr>
        <w:spacing w:line="520" w:lineRule="exact"/>
        <w:ind w:firstLineChars="200" w:firstLine="482"/>
        <w:rPr>
          <w:rFonts w:ascii="宋体" w:eastAsia="宋体" w:hAnsi="宋体" w:cs="宋体"/>
          <w:color w:val="000000"/>
          <w:sz w:val="24"/>
          <w:szCs w:val="24"/>
        </w:rPr>
      </w:pPr>
      <w:r w:rsidRPr="002D6314">
        <w:rPr>
          <w:rFonts w:ascii="宋体" w:eastAsia="宋体" w:hAnsi="宋体" w:cs="宋体" w:hint="eastAsia"/>
          <w:b/>
          <w:sz w:val="24"/>
          <w:szCs w:val="24"/>
        </w:rPr>
        <w:t>课程教学</w:t>
      </w:r>
      <w:r w:rsidRPr="002D6314">
        <w:rPr>
          <w:rFonts w:ascii="宋体" w:eastAsia="宋体" w:hAnsi="宋体" w:cs="宋体" w:hint="eastAsia"/>
          <w:bCs/>
          <w:sz w:val="24"/>
          <w:szCs w:val="24"/>
        </w:rPr>
        <w:t>：</w:t>
      </w:r>
      <w:r w:rsidRPr="002D6314">
        <w:rPr>
          <w:rFonts w:ascii="宋体" w:eastAsia="宋体" w:hAnsi="宋体" w:cs="宋体" w:hint="eastAsia"/>
          <w:color w:val="000000"/>
          <w:sz w:val="24"/>
          <w:szCs w:val="24"/>
        </w:rPr>
        <w:t>本学科现有的课程体系按照一级学科、二级学科和专业方向相结合的原则设置，第一学期的专业基础课程全部按照一级学科设置，全部必修；第二学期的专业方向课程按照二级学科和研究方向设置，每位学生至少选修</w:t>
      </w:r>
      <w:r w:rsidR="00170E39">
        <w:rPr>
          <w:rFonts w:ascii="宋体" w:eastAsia="宋体" w:hAnsi="宋体" w:cs="宋体"/>
          <w:color w:val="000000"/>
          <w:sz w:val="24"/>
          <w:szCs w:val="24"/>
        </w:rPr>
        <w:t>3</w:t>
      </w:r>
      <w:r w:rsidRPr="002D6314">
        <w:rPr>
          <w:rFonts w:ascii="宋体" w:eastAsia="宋体" w:hAnsi="宋体" w:cs="宋体" w:hint="eastAsia"/>
          <w:color w:val="000000"/>
          <w:sz w:val="24"/>
          <w:szCs w:val="24"/>
        </w:rPr>
        <w:t>门；第三学期的专业选修课全部按照研究方向设置，每位学生至少选修</w:t>
      </w:r>
      <w:r w:rsidR="00170E39">
        <w:rPr>
          <w:rFonts w:ascii="宋体" w:eastAsia="宋体" w:hAnsi="宋体" w:cs="宋体"/>
          <w:color w:val="000000"/>
          <w:sz w:val="24"/>
          <w:szCs w:val="24"/>
        </w:rPr>
        <w:t>4</w:t>
      </w:r>
      <w:r w:rsidRPr="002D6314">
        <w:rPr>
          <w:rFonts w:ascii="宋体" w:eastAsia="宋体" w:hAnsi="宋体" w:cs="宋体" w:hint="eastAsia"/>
          <w:color w:val="000000"/>
          <w:sz w:val="24"/>
          <w:szCs w:val="24"/>
        </w:rPr>
        <w:t>门。</w:t>
      </w:r>
    </w:p>
    <w:p w14:paraId="60E87385" w14:textId="77777777" w:rsidR="002D6314" w:rsidRPr="002D6314" w:rsidRDefault="002D6314" w:rsidP="002D6314">
      <w:pPr>
        <w:spacing w:line="520" w:lineRule="exact"/>
        <w:ind w:firstLineChars="200" w:firstLine="480"/>
        <w:rPr>
          <w:rFonts w:ascii="宋体" w:eastAsia="宋体" w:hAnsi="宋体" w:cs="宋体"/>
          <w:sz w:val="24"/>
          <w:szCs w:val="24"/>
        </w:rPr>
      </w:pPr>
      <w:r w:rsidRPr="002D6314">
        <w:rPr>
          <w:rFonts w:ascii="宋体" w:eastAsia="宋体" w:hAnsi="宋体" w:cs="宋体" w:hint="eastAsia"/>
          <w:sz w:val="24"/>
          <w:szCs w:val="24"/>
        </w:rPr>
        <w:t>课程教学方式有讲授、研讨、案例式教学等，各自所占比例</w:t>
      </w:r>
      <w:bookmarkStart w:id="0" w:name="_GoBack"/>
      <w:bookmarkEnd w:id="0"/>
      <w:r w:rsidRPr="002D6314">
        <w:rPr>
          <w:rFonts w:ascii="宋体" w:eastAsia="宋体" w:hAnsi="宋体" w:cs="宋体" w:hint="eastAsia"/>
          <w:sz w:val="24"/>
          <w:szCs w:val="24"/>
        </w:rPr>
        <w:t>为6:3:1。除课堂授课外，对研究生课后的文献阅读或实践要求的课程比重为20%左右，课后学习的效果通过撰写学年论文和实践报告考核。</w:t>
      </w:r>
    </w:p>
    <w:p w14:paraId="50A496B9" w14:textId="77777777" w:rsidR="002D6314" w:rsidRPr="002D6314" w:rsidRDefault="002D6314" w:rsidP="002D6314">
      <w:pPr>
        <w:spacing w:line="520" w:lineRule="exact"/>
        <w:ind w:firstLineChars="200" w:firstLine="482"/>
        <w:rPr>
          <w:rFonts w:ascii="宋体" w:eastAsia="宋体" w:hAnsi="宋体" w:cs="宋体"/>
          <w:bCs/>
          <w:sz w:val="24"/>
          <w:szCs w:val="24"/>
        </w:rPr>
      </w:pPr>
      <w:r w:rsidRPr="002D6314">
        <w:rPr>
          <w:rFonts w:ascii="宋体" w:eastAsia="宋体" w:hAnsi="宋体" w:cs="宋体" w:hint="eastAsia"/>
          <w:b/>
          <w:sz w:val="24"/>
          <w:szCs w:val="24"/>
        </w:rPr>
        <w:t>学术训练</w:t>
      </w:r>
      <w:r w:rsidRPr="002D6314">
        <w:rPr>
          <w:rFonts w:ascii="宋体" w:eastAsia="宋体" w:hAnsi="宋体" w:cs="宋体" w:hint="eastAsia"/>
          <w:bCs/>
          <w:sz w:val="24"/>
          <w:szCs w:val="24"/>
        </w:rPr>
        <w:t>：为加强对研究生的学术训练，要求研究生在学期间应进行个人学术报告、文献报告，参加各类学术会议、学术前沿讲座及各种学术论坛、暑期学</w:t>
      </w:r>
      <w:r w:rsidRPr="002D6314">
        <w:rPr>
          <w:rFonts w:ascii="宋体" w:eastAsia="宋体" w:hAnsi="宋体" w:cs="宋体" w:hint="eastAsia"/>
          <w:bCs/>
          <w:sz w:val="24"/>
          <w:szCs w:val="24"/>
        </w:rPr>
        <w:lastRenderedPageBreak/>
        <w:t>校等学术活动10次以上并予以记录；完善中期考核及分流淘汰制度，形成有效的研究生培养分流淘汰机制；成立研究生教学指导委员会，健全监督管理制度。一方面加强研究生学位论文质量监督，从开题、中期考核到学位论文预答辩、答辩，严格把关；另一方面，开展研究生毕业满意度调查，及时收集反馈问题，为全面改善研究生培养质量提供依据。</w:t>
      </w:r>
    </w:p>
    <w:p w14:paraId="55371624" w14:textId="379B8AD4" w:rsidR="002D6314" w:rsidRPr="002D6314" w:rsidRDefault="002D6314" w:rsidP="002D6314">
      <w:pPr>
        <w:spacing w:line="520" w:lineRule="exact"/>
        <w:ind w:firstLineChars="200" w:firstLine="482"/>
        <w:rPr>
          <w:rFonts w:ascii="宋体" w:eastAsia="宋体" w:hAnsi="宋体" w:cs="宋体"/>
          <w:color w:val="000000"/>
          <w:sz w:val="24"/>
          <w:szCs w:val="24"/>
        </w:rPr>
      </w:pPr>
      <w:r w:rsidRPr="002D6314">
        <w:rPr>
          <w:rFonts w:ascii="宋体" w:eastAsia="宋体" w:hAnsi="宋体" w:cs="宋体" w:hint="eastAsia"/>
          <w:b/>
          <w:sz w:val="24"/>
          <w:szCs w:val="24"/>
        </w:rPr>
        <w:t>学术交流</w:t>
      </w:r>
      <w:r w:rsidRPr="002D6314">
        <w:rPr>
          <w:rFonts w:ascii="宋体" w:eastAsia="宋体" w:hAnsi="宋体" w:cs="宋体" w:hint="eastAsia"/>
          <w:bCs/>
          <w:sz w:val="24"/>
          <w:szCs w:val="24"/>
        </w:rPr>
        <w:t>：大力推动“鉴知名家讲坛”、“河汾讲堂”、“鉴知青年工作坊”等论坛建设，邀请国内外学术名家开展讲座，为师生提供高水平学术交流平台。同时专门设立“鉴知研究生论坛”、“文涌读书会”等研究生学术论坛，不断增强研究生的学术交流，激发研究生的创新能力。</w:t>
      </w:r>
      <w:r w:rsidRPr="002D6314">
        <w:rPr>
          <w:rFonts w:ascii="宋体" w:eastAsia="宋体" w:hAnsi="宋体" w:cs="宋体" w:hint="eastAsia"/>
          <w:color w:val="000000"/>
          <w:sz w:val="24"/>
          <w:szCs w:val="24"/>
        </w:rPr>
        <w:t>本学科重视与国内外高等院校及科研单位的学术联系，</w:t>
      </w:r>
      <w:r w:rsidR="00EA56F7">
        <w:rPr>
          <w:rFonts w:ascii="宋体" w:eastAsia="宋体" w:hAnsi="宋体" w:cs="宋体" w:hint="eastAsia"/>
          <w:color w:val="000000"/>
          <w:sz w:val="24"/>
          <w:szCs w:val="24"/>
        </w:rPr>
        <w:t>鼓励青年教师参与各类学术交流活动，2</w:t>
      </w:r>
      <w:r w:rsidR="00EA56F7">
        <w:rPr>
          <w:rFonts w:ascii="宋体" w:eastAsia="宋体" w:hAnsi="宋体" w:cs="宋体"/>
          <w:color w:val="000000"/>
          <w:sz w:val="24"/>
          <w:szCs w:val="24"/>
        </w:rPr>
        <w:t>020</w:t>
      </w:r>
      <w:r w:rsidR="00EA56F7">
        <w:rPr>
          <w:rFonts w:ascii="宋体" w:eastAsia="宋体" w:hAnsi="宋体" w:cs="宋体" w:hint="eastAsia"/>
          <w:color w:val="000000"/>
          <w:sz w:val="24"/>
          <w:szCs w:val="24"/>
        </w:rPr>
        <w:t>年多名教师以线上和线下的形式参加</w:t>
      </w:r>
      <w:r w:rsidRPr="002D6314">
        <w:rPr>
          <w:rFonts w:ascii="宋体" w:eastAsia="宋体" w:hAnsi="宋体" w:cs="宋体" w:hint="eastAsia"/>
          <w:color w:val="000000"/>
          <w:sz w:val="24"/>
          <w:szCs w:val="24"/>
        </w:rPr>
        <w:t>国内</w:t>
      </w:r>
      <w:r w:rsidR="00EA56F7">
        <w:rPr>
          <w:rFonts w:ascii="宋体" w:eastAsia="宋体" w:hAnsi="宋体" w:cs="宋体" w:hint="eastAsia"/>
          <w:color w:val="000000"/>
          <w:sz w:val="24"/>
          <w:szCs w:val="24"/>
        </w:rPr>
        <w:t>多个</w:t>
      </w:r>
      <w:r w:rsidRPr="002D6314">
        <w:rPr>
          <w:rFonts w:ascii="宋体" w:eastAsia="宋体" w:hAnsi="宋体" w:cs="宋体" w:hint="eastAsia"/>
          <w:color w:val="000000"/>
          <w:sz w:val="24"/>
          <w:szCs w:val="24"/>
        </w:rPr>
        <w:t>学术会议</w:t>
      </w:r>
      <w:r w:rsidR="00EA56F7">
        <w:rPr>
          <w:rFonts w:ascii="宋体" w:eastAsia="宋体" w:hAnsi="宋体" w:cs="宋体" w:hint="eastAsia"/>
          <w:color w:val="000000"/>
          <w:sz w:val="24"/>
          <w:szCs w:val="24"/>
        </w:rPr>
        <w:t>，扩大了本学科在学界的影响力</w:t>
      </w:r>
      <w:r w:rsidRPr="002D6314">
        <w:rPr>
          <w:rFonts w:ascii="宋体" w:eastAsia="宋体" w:hAnsi="宋体" w:cs="宋体" w:hint="eastAsia"/>
          <w:color w:val="000000"/>
          <w:sz w:val="24"/>
          <w:szCs w:val="24"/>
        </w:rPr>
        <w:t>。</w:t>
      </w:r>
    </w:p>
    <w:p w14:paraId="3D59423D" w14:textId="77777777" w:rsidR="002D6314" w:rsidRPr="002D6314" w:rsidRDefault="002D6314" w:rsidP="002D6314">
      <w:pPr>
        <w:spacing w:line="520" w:lineRule="exact"/>
        <w:ind w:firstLineChars="200" w:firstLine="482"/>
        <w:rPr>
          <w:rFonts w:ascii="宋体" w:eastAsia="宋体" w:hAnsi="宋体" w:cs="宋体"/>
          <w:sz w:val="24"/>
          <w:szCs w:val="24"/>
        </w:rPr>
      </w:pPr>
      <w:r w:rsidRPr="002D6314">
        <w:rPr>
          <w:rFonts w:ascii="宋体" w:eastAsia="宋体" w:hAnsi="宋体" w:cs="宋体" w:hint="eastAsia"/>
          <w:b/>
          <w:bCs/>
          <w:color w:val="000000"/>
          <w:sz w:val="24"/>
          <w:szCs w:val="24"/>
        </w:rPr>
        <w:t>论文质量</w:t>
      </w:r>
      <w:r w:rsidRPr="002D6314">
        <w:rPr>
          <w:rFonts w:ascii="宋体" w:eastAsia="宋体" w:hAnsi="宋体" w:cs="宋体" w:hint="eastAsia"/>
          <w:color w:val="000000"/>
          <w:sz w:val="24"/>
          <w:szCs w:val="24"/>
        </w:rPr>
        <w:t>：</w:t>
      </w:r>
      <w:r w:rsidRPr="002D6314">
        <w:rPr>
          <w:rFonts w:ascii="宋体" w:eastAsia="宋体" w:hAnsi="宋体" w:cs="宋体" w:hint="eastAsia"/>
          <w:sz w:val="24"/>
          <w:szCs w:val="24"/>
        </w:rPr>
        <w:t>论文质量是研究生教育质量的主要指标，本学科在论文质量的把控和提升方面非常重视。第一，严格研究生指导教师负责制，以高素质、高标准、严要求保证研究生培养质量。第二，加强研究生培养的过程管理，要求各学位</w:t>
      </w:r>
      <w:proofErr w:type="gramStart"/>
      <w:r w:rsidRPr="002D6314">
        <w:rPr>
          <w:rFonts w:ascii="宋体" w:eastAsia="宋体" w:hAnsi="宋体" w:cs="宋体" w:hint="eastAsia"/>
          <w:sz w:val="24"/>
          <w:szCs w:val="24"/>
        </w:rPr>
        <w:t>评定分</w:t>
      </w:r>
      <w:proofErr w:type="gramEnd"/>
      <w:r w:rsidRPr="002D6314">
        <w:rPr>
          <w:rFonts w:ascii="宋体" w:eastAsia="宋体" w:hAnsi="宋体" w:cs="宋体" w:hint="eastAsia"/>
          <w:sz w:val="24"/>
          <w:szCs w:val="24"/>
        </w:rPr>
        <w:t>委会从研究生学位论文选题、开题、中期考核、预答辩等各个环节严格把关。第三，继续加强学位论文双盲评审制度，严格按照《山西大学学位授予工作规定》中学位论文评阅意见处理办法执行。第四，严格论文答辩环节的质量监控。2020年，在学校的组织下，我院对所有博士和硕士毕业论文进行了外审，全部通过了评审。</w:t>
      </w:r>
    </w:p>
    <w:p w14:paraId="244EEBDD" w14:textId="77777777" w:rsidR="002D6314" w:rsidRPr="002D6314" w:rsidRDefault="002D6314" w:rsidP="002D6314">
      <w:pPr>
        <w:spacing w:line="520" w:lineRule="exact"/>
        <w:ind w:firstLineChars="200" w:firstLine="482"/>
        <w:rPr>
          <w:rFonts w:ascii="宋体" w:eastAsia="宋体" w:hAnsi="宋体" w:cs="宋体"/>
          <w:sz w:val="24"/>
          <w:szCs w:val="24"/>
        </w:rPr>
      </w:pPr>
      <w:r w:rsidRPr="002D6314">
        <w:rPr>
          <w:rFonts w:ascii="宋体" w:eastAsia="宋体" w:hAnsi="宋体" w:cs="宋体" w:hint="eastAsia"/>
          <w:b/>
          <w:bCs/>
          <w:sz w:val="24"/>
          <w:szCs w:val="24"/>
        </w:rPr>
        <w:t>学风建设</w:t>
      </w:r>
      <w:r w:rsidRPr="002D6314">
        <w:rPr>
          <w:rFonts w:ascii="宋体" w:eastAsia="宋体" w:hAnsi="宋体" w:cs="宋体" w:hint="eastAsia"/>
          <w:sz w:val="24"/>
          <w:szCs w:val="24"/>
        </w:rPr>
        <w:t>：定期组织学生学习《山西大学研究生手册》中有关学术规范的文件和制度；组织</w:t>
      </w:r>
      <w:proofErr w:type="gramStart"/>
      <w:r w:rsidRPr="002D6314">
        <w:rPr>
          <w:rFonts w:ascii="宋体" w:eastAsia="宋体" w:hAnsi="宋体" w:cs="宋体" w:hint="eastAsia"/>
          <w:sz w:val="24"/>
          <w:szCs w:val="24"/>
        </w:rPr>
        <w:t>中国知网“知者行”</w:t>
      </w:r>
      <w:proofErr w:type="gramEnd"/>
      <w:r w:rsidRPr="002D6314">
        <w:rPr>
          <w:rFonts w:ascii="宋体" w:eastAsia="宋体" w:hAnsi="宋体" w:cs="宋体" w:hint="eastAsia"/>
          <w:sz w:val="24"/>
          <w:szCs w:val="24"/>
        </w:rPr>
        <w:t>宣讲报告会；要求全体研究生认真学习研究生学院开设的《学术道德与学术规范》公共选修课。学校对学位申请者的学位论文100%进行学术</w:t>
      </w:r>
      <w:proofErr w:type="gramStart"/>
      <w:r w:rsidRPr="002D6314">
        <w:rPr>
          <w:rFonts w:ascii="宋体" w:eastAsia="宋体" w:hAnsi="宋体" w:cs="宋体" w:hint="eastAsia"/>
          <w:sz w:val="24"/>
          <w:szCs w:val="24"/>
        </w:rPr>
        <w:t>不</w:t>
      </w:r>
      <w:proofErr w:type="gramEnd"/>
      <w:r w:rsidRPr="002D6314">
        <w:rPr>
          <w:rFonts w:ascii="宋体" w:eastAsia="宋体" w:hAnsi="宋体" w:cs="宋体" w:hint="eastAsia"/>
          <w:sz w:val="24"/>
          <w:szCs w:val="24"/>
        </w:rPr>
        <w:t>端系统论文查重，2020年本学科学位申请者的</w:t>
      </w:r>
      <w:proofErr w:type="gramStart"/>
      <w:r w:rsidRPr="002D6314">
        <w:rPr>
          <w:rFonts w:ascii="宋体" w:eastAsia="宋体" w:hAnsi="宋体" w:cs="宋体" w:hint="eastAsia"/>
          <w:sz w:val="24"/>
          <w:szCs w:val="24"/>
        </w:rPr>
        <w:t>论文查重均</w:t>
      </w:r>
      <w:proofErr w:type="gramEnd"/>
      <w:r w:rsidRPr="002D6314">
        <w:rPr>
          <w:rFonts w:ascii="宋体" w:eastAsia="宋体" w:hAnsi="宋体" w:cs="宋体" w:hint="eastAsia"/>
          <w:sz w:val="24"/>
          <w:szCs w:val="24"/>
        </w:rPr>
        <w:t>符合学校规定，没有出现任何学术不端行为。</w:t>
      </w:r>
    </w:p>
    <w:p w14:paraId="02BB3EA0" w14:textId="77777777" w:rsidR="002D6314" w:rsidRPr="002D6314" w:rsidRDefault="002D6314" w:rsidP="002D6314">
      <w:pPr>
        <w:spacing w:line="520" w:lineRule="exact"/>
        <w:ind w:firstLineChars="200" w:firstLine="482"/>
        <w:rPr>
          <w:rFonts w:ascii="宋体" w:eastAsia="宋体" w:hAnsi="宋体" w:cs="宋体"/>
          <w:b/>
          <w:bCs/>
          <w:sz w:val="24"/>
          <w:szCs w:val="24"/>
        </w:rPr>
      </w:pPr>
      <w:r w:rsidRPr="002D6314">
        <w:rPr>
          <w:rFonts w:ascii="宋体" w:eastAsia="宋体" w:hAnsi="宋体" w:cs="宋体" w:hint="eastAsia"/>
          <w:b/>
          <w:bCs/>
          <w:sz w:val="24"/>
          <w:szCs w:val="24"/>
        </w:rPr>
        <w:t>5.管理服务</w:t>
      </w:r>
    </w:p>
    <w:p w14:paraId="645E4296" w14:textId="77777777" w:rsidR="002D6314" w:rsidRPr="002D6314" w:rsidRDefault="002D6314" w:rsidP="002D6314">
      <w:pPr>
        <w:spacing w:line="520" w:lineRule="exact"/>
        <w:ind w:firstLineChars="200" w:firstLine="480"/>
        <w:rPr>
          <w:rFonts w:ascii="宋体" w:eastAsia="宋体" w:hAnsi="宋体" w:cs="宋体"/>
          <w:color w:val="000000"/>
          <w:sz w:val="24"/>
          <w:szCs w:val="24"/>
        </w:rPr>
      </w:pPr>
      <w:r w:rsidRPr="002D6314">
        <w:rPr>
          <w:rFonts w:ascii="宋体" w:eastAsia="宋体" w:hAnsi="宋体" w:cs="宋体" w:hint="eastAsia"/>
          <w:color w:val="000000"/>
          <w:sz w:val="24"/>
          <w:szCs w:val="24"/>
        </w:rPr>
        <w:t>学校设立校院二级管理体制，均配备专职工作人员，建立了完善的覆盖研究</w:t>
      </w:r>
      <w:r w:rsidRPr="002D6314">
        <w:rPr>
          <w:rFonts w:ascii="宋体" w:eastAsia="宋体" w:hAnsi="宋体" w:cs="宋体" w:hint="eastAsia"/>
          <w:color w:val="000000"/>
          <w:sz w:val="24"/>
          <w:szCs w:val="24"/>
        </w:rPr>
        <w:lastRenderedPageBreak/>
        <w:t>生培养全过程的管理服务质量保障体系。</w:t>
      </w:r>
      <w:r w:rsidRPr="002D6314">
        <w:rPr>
          <w:rFonts w:ascii="宋体" w:eastAsia="宋体" w:hAnsi="宋体" w:cs="宋体" w:hint="eastAsia"/>
          <w:sz w:val="24"/>
          <w:szCs w:val="24"/>
        </w:rPr>
        <w:t>学院</w:t>
      </w:r>
      <w:r w:rsidRPr="002D6314">
        <w:rPr>
          <w:rFonts w:ascii="宋体" w:eastAsia="宋体" w:hAnsi="宋体" w:cs="宋体" w:hint="eastAsia"/>
          <w:color w:val="000000"/>
          <w:sz w:val="24"/>
          <w:szCs w:val="24"/>
        </w:rPr>
        <w:t>作为办学主体，负责研究生的具体教学与培养工作。学院专设</w:t>
      </w:r>
      <w:proofErr w:type="gramStart"/>
      <w:r w:rsidRPr="002D6314">
        <w:rPr>
          <w:rFonts w:ascii="宋体" w:eastAsia="宋体" w:hAnsi="宋体" w:cs="宋体" w:hint="eastAsia"/>
          <w:color w:val="000000"/>
          <w:sz w:val="24"/>
          <w:szCs w:val="24"/>
        </w:rPr>
        <w:t>科研副</w:t>
      </w:r>
      <w:proofErr w:type="gramEnd"/>
      <w:r w:rsidRPr="002D6314">
        <w:rPr>
          <w:rFonts w:ascii="宋体" w:eastAsia="宋体" w:hAnsi="宋体" w:cs="宋体" w:hint="eastAsia"/>
          <w:color w:val="000000"/>
          <w:sz w:val="24"/>
          <w:szCs w:val="24"/>
        </w:rPr>
        <w:t>院长分管研究生教学和管理工作，并配备一名教学秘书。本学位</w:t>
      </w:r>
      <w:proofErr w:type="gramStart"/>
      <w:r w:rsidRPr="002D6314">
        <w:rPr>
          <w:rFonts w:ascii="宋体" w:eastAsia="宋体" w:hAnsi="宋体" w:cs="宋体" w:hint="eastAsia"/>
          <w:color w:val="000000"/>
          <w:sz w:val="24"/>
          <w:szCs w:val="24"/>
        </w:rPr>
        <w:t>点拥有</w:t>
      </w:r>
      <w:proofErr w:type="gramEnd"/>
      <w:r w:rsidRPr="002D6314">
        <w:rPr>
          <w:rFonts w:ascii="宋体" w:eastAsia="宋体" w:hAnsi="宋体" w:cs="宋体" w:hint="eastAsia"/>
          <w:color w:val="000000"/>
          <w:sz w:val="24"/>
          <w:szCs w:val="24"/>
        </w:rPr>
        <w:t>健全且渐成体系的管理制度，研究生日常教学、培养及管理工作严格按照各项管理制度执行。</w:t>
      </w:r>
      <w:r w:rsidRPr="002D6314">
        <w:rPr>
          <w:rFonts w:ascii="宋体" w:eastAsia="宋体" w:hAnsi="宋体" w:cs="宋体" w:hint="eastAsia"/>
          <w:sz w:val="24"/>
          <w:szCs w:val="24"/>
        </w:rPr>
        <w:t>学校作为《学位与研究生教育》期刊杂志社承办的“中国研究生教育满意度调查”成员单位，自2013 年开始连续多年对在学研究生开展“满意度调查”工作，并予以认真反馈。</w:t>
      </w:r>
    </w:p>
    <w:p w14:paraId="6B9BDBD6" w14:textId="77777777" w:rsidR="00EA56F7" w:rsidRPr="00EA56F7" w:rsidRDefault="00EA56F7" w:rsidP="00EA56F7">
      <w:pPr>
        <w:spacing w:line="520" w:lineRule="exact"/>
        <w:ind w:firstLineChars="200" w:firstLine="482"/>
        <w:rPr>
          <w:rFonts w:ascii="宋体" w:eastAsia="宋体" w:hAnsi="宋体" w:cs="宋体"/>
          <w:b/>
          <w:bCs/>
          <w:sz w:val="24"/>
          <w:szCs w:val="24"/>
        </w:rPr>
      </w:pPr>
      <w:r w:rsidRPr="00EA56F7">
        <w:rPr>
          <w:rFonts w:ascii="宋体" w:eastAsia="宋体" w:hAnsi="宋体" w:cs="宋体" w:hint="eastAsia"/>
          <w:b/>
          <w:bCs/>
          <w:sz w:val="24"/>
          <w:szCs w:val="24"/>
        </w:rPr>
        <w:t>6.研究生就业发展、社会服务等各方面工作取得的成绩</w:t>
      </w:r>
    </w:p>
    <w:p w14:paraId="554D9EC5" w14:textId="12DDF119" w:rsidR="00EA56F7" w:rsidRPr="00EA56F7" w:rsidRDefault="00EA56F7" w:rsidP="00EA56F7">
      <w:pPr>
        <w:spacing w:line="520" w:lineRule="exact"/>
        <w:ind w:firstLineChars="200" w:firstLine="480"/>
        <w:rPr>
          <w:rFonts w:ascii="宋体" w:eastAsia="宋体" w:hAnsi="宋体" w:cs="宋体"/>
          <w:color w:val="000000"/>
          <w:sz w:val="24"/>
          <w:szCs w:val="24"/>
        </w:rPr>
      </w:pPr>
      <w:r w:rsidRPr="00EA56F7">
        <w:rPr>
          <w:rFonts w:ascii="宋体" w:eastAsia="宋体" w:hAnsi="宋体" w:cs="宋体" w:hint="eastAsia"/>
          <w:color w:val="000000"/>
          <w:sz w:val="24"/>
          <w:szCs w:val="24"/>
        </w:rPr>
        <w:t>本学科高度重视研究生就业工作，通过不断调整专业结构、提升人才培养质量，不断夯实学生就业基础，同时，学院深入推进就业指导和帮扶工作，加大就业信息化建设，积极开展创业教育与创业培训，不断推动就业率和就业质量的提高。</w:t>
      </w:r>
    </w:p>
    <w:tbl>
      <w:tblPr>
        <w:tblW w:w="535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9"/>
        <w:gridCol w:w="675"/>
        <w:gridCol w:w="989"/>
        <w:gridCol w:w="863"/>
        <w:gridCol w:w="1690"/>
        <w:gridCol w:w="710"/>
        <w:gridCol w:w="710"/>
        <w:gridCol w:w="706"/>
        <w:gridCol w:w="721"/>
        <w:gridCol w:w="1334"/>
      </w:tblGrid>
      <w:tr w:rsidR="00EA56F7" w:rsidRPr="00EA56F7" w14:paraId="409D7E53" w14:textId="77777777" w:rsidTr="00707B21">
        <w:trPr>
          <w:trHeight w:val="454"/>
          <w:jc w:val="center"/>
        </w:trPr>
        <w:tc>
          <w:tcPr>
            <w:tcW w:w="5000" w:type="pct"/>
            <w:gridSpan w:val="10"/>
            <w:tcBorders>
              <w:top w:val="single" w:sz="12" w:space="0" w:color="000000"/>
              <w:right w:val="single" w:sz="12" w:space="0" w:color="auto"/>
            </w:tcBorders>
            <w:vAlign w:val="center"/>
          </w:tcPr>
          <w:p w14:paraId="0B045780" w14:textId="77777777" w:rsidR="00EA56F7" w:rsidRPr="00EA56F7" w:rsidRDefault="00EA56F7" w:rsidP="00EA56F7">
            <w:pPr>
              <w:widowControl/>
              <w:jc w:val="center"/>
              <w:rPr>
                <w:rFonts w:ascii="宋体" w:eastAsia="宋体" w:hAnsi="宋体" w:cs="宋体"/>
                <w:b/>
                <w:bCs/>
                <w:kern w:val="0"/>
                <w:sz w:val="24"/>
                <w:szCs w:val="24"/>
              </w:rPr>
            </w:pPr>
            <w:r w:rsidRPr="00EA56F7">
              <w:rPr>
                <w:rFonts w:ascii="宋体" w:eastAsia="宋体" w:hAnsi="宋体" w:cs="宋体" w:hint="eastAsia"/>
                <w:b/>
                <w:bCs/>
                <w:kern w:val="0"/>
                <w:sz w:val="24"/>
                <w:szCs w:val="24"/>
              </w:rPr>
              <w:t>2020年就业情况统计</w:t>
            </w:r>
          </w:p>
        </w:tc>
      </w:tr>
      <w:tr w:rsidR="00EA56F7" w:rsidRPr="00EA56F7" w14:paraId="2A61B8EB" w14:textId="77777777" w:rsidTr="00EA56F7">
        <w:trPr>
          <w:trHeight w:val="454"/>
          <w:jc w:val="center"/>
        </w:trPr>
        <w:tc>
          <w:tcPr>
            <w:tcW w:w="399" w:type="pct"/>
            <w:vMerge w:val="restart"/>
            <w:vAlign w:val="center"/>
          </w:tcPr>
          <w:p w14:paraId="75041229" w14:textId="77777777" w:rsidR="00EA56F7" w:rsidRPr="00EA56F7" w:rsidRDefault="00EA56F7" w:rsidP="00EA56F7">
            <w:pPr>
              <w:widowControl/>
              <w:jc w:val="center"/>
              <w:rPr>
                <w:rFonts w:ascii="宋体" w:eastAsia="宋体" w:hAnsi="宋体" w:cs="宋体"/>
                <w:b/>
                <w:bCs/>
                <w:sz w:val="24"/>
                <w:szCs w:val="24"/>
              </w:rPr>
            </w:pPr>
            <w:r w:rsidRPr="00EA56F7">
              <w:rPr>
                <w:rFonts w:ascii="宋体" w:eastAsia="宋体" w:hAnsi="宋体" w:cs="宋体" w:hint="eastAsia"/>
                <w:b/>
                <w:bCs/>
                <w:sz w:val="24"/>
                <w:szCs w:val="24"/>
              </w:rPr>
              <w:t>年度</w:t>
            </w:r>
          </w:p>
        </w:tc>
        <w:tc>
          <w:tcPr>
            <w:tcW w:w="369" w:type="pct"/>
            <w:vMerge w:val="restart"/>
            <w:vAlign w:val="center"/>
          </w:tcPr>
          <w:p w14:paraId="3839B132" w14:textId="77777777" w:rsidR="00EA56F7" w:rsidRPr="00EA56F7" w:rsidRDefault="00EA56F7" w:rsidP="00EA56F7">
            <w:pPr>
              <w:widowControl/>
              <w:jc w:val="center"/>
              <w:rPr>
                <w:rFonts w:ascii="宋体" w:eastAsia="宋体" w:hAnsi="宋体" w:cs="宋体"/>
                <w:b/>
                <w:bCs/>
                <w:sz w:val="24"/>
                <w:szCs w:val="24"/>
              </w:rPr>
            </w:pPr>
            <w:r w:rsidRPr="00EA56F7">
              <w:rPr>
                <w:rFonts w:ascii="宋体" w:eastAsia="宋体" w:hAnsi="宋体" w:cs="宋体" w:hint="eastAsia"/>
                <w:b/>
                <w:bCs/>
                <w:sz w:val="24"/>
                <w:szCs w:val="24"/>
              </w:rPr>
              <w:t>学生</w:t>
            </w:r>
          </w:p>
          <w:p w14:paraId="184FA036" w14:textId="77777777" w:rsidR="00EA56F7" w:rsidRPr="00EA56F7" w:rsidRDefault="00EA56F7" w:rsidP="00EA56F7">
            <w:pPr>
              <w:widowControl/>
              <w:jc w:val="center"/>
              <w:rPr>
                <w:rFonts w:ascii="宋体" w:eastAsia="宋体" w:hAnsi="宋体" w:cs="宋体"/>
                <w:b/>
                <w:bCs/>
                <w:sz w:val="24"/>
                <w:szCs w:val="24"/>
              </w:rPr>
            </w:pPr>
            <w:r w:rsidRPr="00EA56F7">
              <w:rPr>
                <w:rFonts w:ascii="宋体" w:eastAsia="宋体" w:hAnsi="宋体" w:cs="宋体" w:hint="eastAsia"/>
                <w:b/>
                <w:bCs/>
                <w:sz w:val="24"/>
                <w:szCs w:val="24"/>
              </w:rPr>
              <w:t>类型</w:t>
            </w:r>
          </w:p>
        </w:tc>
        <w:tc>
          <w:tcPr>
            <w:tcW w:w="542" w:type="pct"/>
            <w:vMerge w:val="restart"/>
            <w:vAlign w:val="center"/>
          </w:tcPr>
          <w:p w14:paraId="41C1F150" w14:textId="77777777" w:rsidR="00EA56F7" w:rsidRPr="00EA56F7" w:rsidRDefault="00EA56F7" w:rsidP="00EA56F7">
            <w:pPr>
              <w:widowControl/>
              <w:jc w:val="center"/>
              <w:rPr>
                <w:rFonts w:ascii="宋体" w:eastAsia="宋体" w:hAnsi="宋体" w:cs="宋体"/>
                <w:b/>
                <w:bCs/>
                <w:sz w:val="24"/>
                <w:szCs w:val="24"/>
              </w:rPr>
            </w:pPr>
            <w:r w:rsidRPr="00EA56F7">
              <w:rPr>
                <w:rFonts w:ascii="宋体" w:eastAsia="宋体" w:hAnsi="宋体" w:cs="宋体" w:hint="eastAsia"/>
                <w:b/>
                <w:bCs/>
                <w:sz w:val="24"/>
                <w:szCs w:val="24"/>
              </w:rPr>
              <w:t>毕业生总数</w:t>
            </w:r>
          </w:p>
        </w:tc>
        <w:tc>
          <w:tcPr>
            <w:tcW w:w="473" w:type="pct"/>
            <w:vMerge w:val="restart"/>
            <w:vAlign w:val="center"/>
          </w:tcPr>
          <w:p w14:paraId="48535EA8" w14:textId="77777777" w:rsidR="00EA56F7" w:rsidRPr="00EA56F7" w:rsidRDefault="00EA56F7" w:rsidP="00EA56F7">
            <w:pPr>
              <w:jc w:val="center"/>
              <w:rPr>
                <w:rFonts w:ascii="宋体" w:eastAsia="宋体" w:hAnsi="宋体" w:cs="宋体"/>
                <w:b/>
                <w:bCs/>
                <w:sz w:val="24"/>
                <w:szCs w:val="24"/>
              </w:rPr>
            </w:pPr>
            <w:r w:rsidRPr="00EA56F7">
              <w:rPr>
                <w:rFonts w:ascii="宋体" w:eastAsia="宋体" w:hAnsi="宋体" w:cs="宋体" w:hint="eastAsia"/>
                <w:b/>
                <w:bCs/>
                <w:sz w:val="24"/>
                <w:szCs w:val="24"/>
              </w:rPr>
              <w:t>授予学位数</w:t>
            </w:r>
          </w:p>
        </w:tc>
        <w:tc>
          <w:tcPr>
            <w:tcW w:w="2485" w:type="pct"/>
            <w:gridSpan w:val="5"/>
            <w:tcBorders>
              <w:top w:val="single" w:sz="4" w:space="0" w:color="auto"/>
              <w:bottom w:val="single" w:sz="4" w:space="0" w:color="auto"/>
              <w:right w:val="single" w:sz="2" w:space="0" w:color="auto"/>
            </w:tcBorders>
            <w:vAlign w:val="center"/>
          </w:tcPr>
          <w:p w14:paraId="41632FA5" w14:textId="77777777" w:rsidR="00EA56F7" w:rsidRPr="00EA56F7" w:rsidRDefault="00EA56F7" w:rsidP="00EA56F7">
            <w:pPr>
              <w:widowControl/>
              <w:jc w:val="center"/>
              <w:rPr>
                <w:rFonts w:ascii="宋体" w:eastAsia="宋体" w:hAnsi="宋体" w:cs="宋体"/>
                <w:b/>
                <w:bCs/>
                <w:sz w:val="24"/>
                <w:szCs w:val="24"/>
              </w:rPr>
            </w:pPr>
            <w:r w:rsidRPr="00EA56F7">
              <w:rPr>
                <w:rFonts w:ascii="宋体" w:eastAsia="宋体" w:hAnsi="宋体" w:cs="宋体" w:hint="eastAsia"/>
                <w:b/>
                <w:bCs/>
                <w:sz w:val="24"/>
                <w:szCs w:val="24"/>
              </w:rPr>
              <w:t>就业情况</w:t>
            </w:r>
          </w:p>
        </w:tc>
        <w:tc>
          <w:tcPr>
            <w:tcW w:w="732" w:type="pct"/>
            <w:vMerge w:val="restart"/>
            <w:tcBorders>
              <w:top w:val="single" w:sz="4" w:space="0" w:color="auto"/>
              <w:right w:val="single" w:sz="12" w:space="0" w:color="auto"/>
            </w:tcBorders>
            <w:vAlign w:val="center"/>
          </w:tcPr>
          <w:p w14:paraId="152793E7" w14:textId="77777777" w:rsidR="00EA56F7" w:rsidRPr="00EA56F7" w:rsidRDefault="00EA56F7" w:rsidP="00EA56F7">
            <w:pPr>
              <w:widowControl/>
              <w:jc w:val="center"/>
              <w:rPr>
                <w:rFonts w:ascii="宋体" w:eastAsia="宋体" w:hAnsi="宋体" w:cs="宋体"/>
                <w:b/>
                <w:bCs/>
                <w:sz w:val="24"/>
                <w:szCs w:val="24"/>
              </w:rPr>
            </w:pPr>
            <w:r w:rsidRPr="00EA56F7">
              <w:rPr>
                <w:rFonts w:ascii="宋体" w:eastAsia="宋体" w:hAnsi="宋体" w:cs="宋体" w:hint="eastAsia"/>
                <w:b/>
                <w:bCs/>
                <w:sz w:val="24"/>
                <w:szCs w:val="24"/>
              </w:rPr>
              <w:t>就业人数及就业率</w:t>
            </w:r>
          </w:p>
        </w:tc>
      </w:tr>
      <w:tr w:rsidR="00EA56F7" w:rsidRPr="00EA56F7" w14:paraId="5C01A9B9" w14:textId="77777777" w:rsidTr="00EA56F7">
        <w:trPr>
          <w:trHeight w:val="195"/>
          <w:jc w:val="center"/>
        </w:trPr>
        <w:tc>
          <w:tcPr>
            <w:tcW w:w="399" w:type="pct"/>
            <w:vMerge/>
            <w:vAlign w:val="center"/>
          </w:tcPr>
          <w:p w14:paraId="01FFEB76" w14:textId="77777777" w:rsidR="00EA56F7" w:rsidRPr="00EA56F7" w:rsidRDefault="00EA56F7" w:rsidP="00EA56F7">
            <w:pPr>
              <w:widowControl/>
              <w:jc w:val="center"/>
              <w:rPr>
                <w:rFonts w:ascii="宋体" w:eastAsia="宋体" w:hAnsi="宋体" w:cs="宋体"/>
                <w:b/>
                <w:bCs/>
                <w:sz w:val="24"/>
                <w:szCs w:val="24"/>
              </w:rPr>
            </w:pPr>
          </w:p>
        </w:tc>
        <w:tc>
          <w:tcPr>
            <w:tcW w:w="369" w:type="pct"/>
            <w:vMerge/>
            <w:vAlign w:val="center"/>
          </w:tcPr>
          <w:p w14:paraId="51F8CA69" w14:textId="77777777" w:rsidR="00EA56F7" w:rsidRPr="00EA56F7" w:rsidRDefault="00EA56F7" w:rsidP="00EA56F7">
            <w:pPr>
              <w:widowControl/>
              <w:jc w:val="center"/>
              <w:rPr>
                <w:rFonts w:ascii="宋体" w:eastAsia="宋体" w:hAnsi="宋体" w:cs="宋体"/>
                <w:b/>
                <w:bCs/>
                <w:sz w:val="24"/>
                <w:szCs w:val="24"/>
              </w:rPr>
            </w:pPr>
          </w:p>
        </w:tc>
        <w:tc>
          <w:tcPr>
            <w:tcW w:w="542" w:type="pct"/>
            <w:vMerge/>
            <w:vAlign w:val="center"/>
          </w:tcPr>
          <w:p w14:paraId="5079EEFE" w14:textId="77777777" w:rsidR="00EA56F7" w:rsidRPr="00EA56F7" w:rsidRDefault="00EA56F7" w:rsidP="00EA56F7">
            <w:pPr>
              <w:widowControl/>
              <w:ind w:leftChars="-50" w:left="-105"/>
              <w:jc w:val="center"/>
              <w:rPr>
                <w:rFonts w:ascii="宋体" w:eastAsia="宋体" w:hAnsi="宋体" w:cs="宋体"/>
                <w:b/>
                <w:bCs/>
                <w:sz w:val="24"/>
                <w:szCs w:val="24"/>
              </w:rPr>
            </w:pPr>
          </w:p>
        </w:tc>
        <w:tc>
          <w:tcPr>
            <w:tcW w:w="473" w:type="pct"/>
            <w:vMerge/>
            <w:vAlign w:val="center"/>
          </w:tcPr>
          <w:p w14:paraId="70D276BD" w14:textId="77777777" w:rsidR="00EA56F7" w:rsidRPr="00EA56F7" w:rsidRDefault="00EA56F7" w:rsidP="00EA56F7">
            <w:pPr>
              <w:jc w:val="center"/>
              <w:rPr>
                <w:rFonts w:ascii="宋体" w:eastAsia="宋体" w:hAnsi="宋体" w:cs="宋体"/>
                <w:b/>
                <w:bCs/>
                <w:sz w:val="24"/>
                <w:szCs w:val="24"/>
              </w:rPr>
            </w:pPr>
          </w:p>
        </w:tc>
        <w:tc>
          <w:tcPr>
            <w:tcW w:w="926" w:type="pct"/>
            <w:vMerge w:val="restart"/>
            <w:tcBorders>
              <w:right w:val="single" w:sz="4" w:space="0" w:color="auto"/>
            </w:tcBorders>
            <w:vAlign w:val="center"/>
          </w:tcPr>
          <w:p w14:paraId="55222326" w14:textId="77777777" w:rsidR="00EA56F7" w:rsidRPr="00EA56F7" w:rsidRDefault="00EA56F7" w:rsidP="00EA56F7">
            <w:pPr>
              <w:jc w:val="center"/>
              <w:rPr>
                <w:rFonts w:ascii="宋体" w:eastAsia="宋体" w:hAnsi="宋体" w:cs="宋体"/>
                <w:b/>
                <w:bCs/>
                <w:sz w:val="24"/>
                <w:szCs w:val="24"/>
              </w:rPr>
            </w:pPr>
            <w:r w:rsidRPr="00EA56F7">
              <w:rPr>
                <w:rFonts w:ascii="宋体" w:eastAsia="宋体" w:hAnsi="宋体" w:cs="宋体" w:hint="eastAsia"/>
                <w:b/>
                <w:bCs/>
                <w:sz w:val="24"/>
                <w:szCs w:val="24"/>
              </w:rPr>
              <w:t>协议和合同就业（含博士后）</w:t>
            </w:r>
          </w:p>
        </w:tc>
        <w:tc>
          <w:tcPr>
            <w:tcW w:w="389" w:type="pct"/>
            <w:vMerge w:val="restart"/>
            <w:tcBorders>
              <w:right w:val="single" w:sz="4" w:space="0" w:color="auto"/>
            </w:tcBorders>
            <w:vAlign w:val="center"/>
          </w:tcPr>
          <w:p w14:paraId="19AB57A0" w14:textId="77777777" w:rsidR="00EA56F7" w:rsidRPr="00EA56F7" w:rsidRDefault="00EA56F7" w:rsidP="00EA56F7">
            <w:pPr>
              <w:widowControl/>
              <w:jc w:val="center"/>
              <w:rPr>
                <w:rFonts w:ascii="宋体" w:eastAsia="宋体" w:hAnsi="宋体" w:cs="宋体"/>
                <w:b/>
                <w:bCs/>
                <w:sz w:val="24"/>
                <w:szCs w:val="24"/>
              </w:rPr>
            </w:pPr>
            <w:r w:rsidRPr="00EA56F7">
              <w:rPr>
                <w:rFonts w:ascii="宋体" w:eastAsia="宋体" w:hAnsi="宋体" w:cs="宋体" w:hint="eastAsia"/>
                <w:b/>
                <w:bCs/>
                <w:sz w:val="24"/>
                <w:szCs w:val="24"/>
              </w:rPr>
              <w:t>自主创业</w:t>
            </w:r>
          </w:p>
        </w:tc>
        <w:tc>
          <w:tcPr>
            <w:tcW w:w="389" w:type="pct"/>
            <w:vMerge w:val="restart"/>
            <w:tcBorders>
              <w:right w:val="single" w:sz="4" w:space="0" w:color="auto"/>
            </w:tcBorders>
            <w:vAlign w:val="center"/>
          </w:tcPr>
          <w:p w14:paraId="5D4D6167" w14:textId="77777777" w:rsidR="00EA56F7" w:rsidRPr="00EA56F7" w:rsidRDefault="00EA56F7" w:rsidP="00EA56F7">
            <w:pPr>
              <w:widowControl/>
              <w:jc w:val="center"/>
              <w:rPr>
                <w:rFonts w:ascii="宋体" w:eastAsia="宋体" w:hAnsi="宋体" w:cs="宋体"/>
                <w:b/>
                <w:bCs/>
                <w:spacing w:val="-20"/>
                <w:sz w:val="24"/>
                <w:szCs w:val="24"/>
              </w:rPr>
            </w:pPr>
            <w:r w:rsidRPr="00EA56F7">
              <w:rPr>
                <w:rFonts w:ascii="宋体" w:eastAsia="宋体" w:hAnsi="宋体" w:cs="宋体" w:hint="eastAsia"/>
                <w:b/>
                <w:bCs/>
                <w:sz w:val="24"/>
                <w:szCs w:val="24"/>
              </w:rPr>
              <w:t>灵活就业</w:t>
            </w:r>
          </w:p>
        </w:tc>
        <w:tc>
          <w:tcPr>
            <w:tcW w:w="782" w:type="pct"/>
            <w:gridSpan w:val="2"/>
            <w:tcBorders>
              <w:right w:val="single" w:sz="4" w:space="0" w:color="auto"/>
            </w:tcBorders>
            <w:vAlign w:val="center"/>
          </w:tcPr>
          <w:p w14:paraId="7C9E82CF" w14:textId="77777777" w:rsidR="00EA56F7" w:rsidRPr="00EA56F7" w:rsidRDefault="00EA56F7" w:rsidP="00EA56F7">
            <w:pPr>
              <w:widowControl/>
              <w:jc w:val="center"/>
              <w:rPr>
                <w:rFonts w:ascii="宋体" w:eastAsia="宋体" w:hAnsi="宋体" w:cs="宋体"/>
                <w:b/>
                <w:bCs/>
                <w:sz w:val="24"/>
                <w:szCs w:val="24"/>
              </w:rPr>
            </w:pPr>
            <w:r w:rsidRPr="00EA56F7">
              <w:rPr>
                <w:rFonts w:ascii="宋体" w:eastAsia="宋体" w:hAnsi="宋体" w:cs="宋体" w:hint="eastAsia"/>
                <w:b/>
                <w:bCs/>
                <w:sz w:val="24"/>
                <w:szCs w:val="24"/>
              </w:rPr>
              <w:t>升学</w:t>
            </w:r>
          </w:p>
        </w:tc>
        <w:tc>
          <w:tcPr>
            <w:tcW w:w="732" w:type="pct"/>
            <w:vMerge/>
            <w:tcBorders>
              <w:right w:val="single" w:sz="12" w:space="0" w:color="auto"/>
            </w:tcBorders>
            <w:vAlign w:val="center"/>
          </w:tcPr>
          <w:p w14:paraId="680D2998" w14:textId="77777777" w:rsidR="00EA56F7" w:rsidRPr="00EA56F7" w:rsidRDefault="00EA56F7" w:rsidP="00EA56F7">
            <w:pPr>
              <w:jc w:val="center"/>
              <w:rPr>
                <w:rFonts w:ascii="宋体" w:eastAsia="宋体" w:hAnsi="宋体" w:cs="宋体"/>
                <w:b/>
                <w:bCs/>
                <w:sz w:val="24"/>
                <w:szCs w:val="24"/>
              </w:rPr>
            </w:pPr>
          </w:p>
        </w:tc>
      </w:tr>
      <w:tr w:rsidR="00EA56F7" w:rsidRPr="00EA56F7" w14:paraId="2CAD938A" w14:textId="77777777" w:rsidTr="00EA56F7">
        <w:trPr>
          <w:trHeight w:val="60"/>
          <w:jc w:val="center"/>
        </w:trPr>
        <w:tc>
          <w:tcPr>
            <w:tcW w:w="399" w:type="pct"/>
            <w:vMerge/>
            <w:vAlign w:val="center"/>
          </w:tcPr>
          <w:p w14:paraId="46D90190" w14:textId="77777777" w:rsidR="00EA56F7" w:rsidRPr="00EA56F7" w:rsidRDefault="00EA56F7" w:rsidP="00EA56F7">
            <w:pPr>
              <w:widowControl/>
              <w:jc w:val="center"/>
              <w:rPr>
                <w:rFonts w:ascii="宋体" w:eastAsia="宋体" w:hAnsi="宋体" w:cs="宋体"/>
                <w:b/>
                <w:bCs/>
                <w:sz w:val="24"/>
                <w:szCs w:val="24"/>
              </w:rPr>
            </w:pPr>
          </w:p>
        </w:tc>
        <w:tc>
          <w:tcPr>
            <w:tcW w:w="369" w:type="pct"/>
            <w:vMerge/>
            <w:vAlign w:val="center"/>
          </w:tcPr>
          <w:p w14:paraId="0E1DC59C" w14:textId="77777777" w:rsidR="00EA56F7" w:rsidRPr="00EA56F7" w:rsidRDefault="00EA56F7" w:rsidP="00EA56F7">
            <w:pPr>
              <w:widowControl/>
              <w:jc w:val="center"/>
              <w:rPr>
                <w:rFonts w:ascii="宋体" w:eastAsia="宋体" w:hAnsi="宋体" w:cs="宋体"/>
                <w:b/>
                <w:bCs/>
                <w:sz w:val="24"/>
                <w:szCs w:val="24"/>
              </w:rPr>
            </w:pPr>
          </w:p>
        </w:tc>
        <w:tc>
          <w:tcPr>
            <w:tcW w:w="542" w:type="pct"/>
            <w:vMerge/>
            <w:vAlign w:val="center"/>
          </w:tcPr>
          <w:p w14:paraId="2732B269" w14:textId="77777777" w:rsidR="00EA56F7" w:rsidRPr="00EA56F7" w:rsidRDefault="00EA56F7" w:rsidP="00EA56F7">
            <w:pPr>
              <w:widowControl/>
              <w:jc w:val="center"/>
              <w:rPr>
                <w:rFonts w:ascii="宋体" w:eastAsia="宋体" w:hAnsi="宋体" w:cs="宋体"/>
                <w:b/>
                <w:bCs/>
                <w:sz w:val="24"/>
                <w:szCs w:val="24"/>
              </w:rPr>
            </w:pPr>
          </w:p>
        </w:tc>
        <w:tc>
          <w:tcPr>
            <w:tcW w:w="473" w:type="pct"/>
            <w:vMerge/>
            <w:vAlign w:val="center"/>
          </w:tcPr>
          <w:p w14:paraId="5EF33D96" w14:textId="77777777" w:rsidR="00EA56F7" w:rsidRPr="00EA56F7" w:rsidRDefault="00EA56F7" w:rsidP="00EA56F7">
            <w:pPr>
              <w:widowControl/>
              <w:jc w:val="center"/>
              <w:rPr>
                <w:rFonts w:ascii="宋体" w:eastAsia="宋体" w:hAnsi="宋体" w:cs="宋体"/>
                <w:b/>
                <w:bCs/>
                <w:sz w:val="24"/>
                <w:szCs w:val="24"/>
              </w:rPr>
            </w:pPr>
          </w:p>
        </w:tc>
        <w:tc>
          <w:tcPr>
            <w:tcW w:w="926" w:type="pct"/>
            <w:vMerge/>
            <w:vAlign w:val="center"/>
          </w:tcPr>
          <w:p w14:paraId="348E7C5C" w14:textId="77777777" w:rsidR="00EA56F7" w:rsidRPr="00EA56F7" w:rsidRDefault="00EA56F7" w:rsidP="00EA56F7">
            <w:pPr>
              <w:widowControl/>
              <w:jc w:val="center"/>
              <w:rPr>
                <w:rFonts w:ascii="宋体" w:eastAsia="宋体" w:hAnsi="宋体" w:cs="宋体"/>
                <w:b/>
                <w:bCs/>
                <w:sz w:val="24"/>
                <w:szCs w:val="24"/>
              </w:rPr>
            </w:pPr>
          </w:p>
        </w:tc>
        <w:tc>
          <w:tcPr>
            <w:tcW w:w="389" w:type="pct"/>
            <w:vMerge/>
            <w:vAlign w:val="center"/>
          </w:tcPr>
          <w:p w14:paraId="5945993B" w14:textId="77777777" w:rsidR="00EA56F7" w:rsidRPr="00EA56F7" w:rsidRDefault="00EA56F7" w:rsidP="00EA56F7">
            <w:pPr>
              <w:widowControl/>
              <w:jc w:val="center"/>
              <w:rPr>
                <w:rFonts w:ascii="宋体" w:eastAsia="宋体" w:hAnsi="宋体" w:cs="宋体"/>
                <w:b/>
                <w:bCs/>
                <w:sz w:val="24"/>
                <w:szCs w:val="24"/>
              </w:rPr>
            </w:pPr>
          </w:p>
        </w:tc>
        <w:tc>
          <w:tcPr>
            <w:tcW w:w="389" w:type="pct"/>
            <w:vMerge/>
            <w:tcBorders>
              <w:right w:val="single" w:sz="4" w:space="0" w:color="auto"/>
            </w:tcBorders>
            <w:vAlign w:val="center"/>
          </w:tcPr>
          <w:p w14:paraId="5E145508" w14:textId="77777777" w:rsidR="00EA56F7" w:rsidRPr="00EA56F7" w:rsidRDefault="00EA56F7" w:rsidP="00EA56F7">
            <w:pPr>
              <w:widowControl/>
              <w:jc w:val="center"/>
              <w:rPr>
                <w:rFonts w:ascii="宋体" w:eastAsia="宋体" w:hAnsi="宋体" w:cs="宋体"/>
                <w:b/>
                <w:bCs/>
                <w:sz w:val="24"/>
                <w:szCs w:val="24"/>
              </w:rPr>
            </w:pPr>
          </w:p>
        </w:tc>
        <w:tc>
          <w:tcPr>
            <w:tcW w:w="387" w:type="pct"/>
            <w:tcBorders>
              <w:left w:val="single" w:sz="4" w:space="0" w:color="auto"/>
            </w:tcBorders>
            <w:vAlign w:val="center"/>
          </w:tcPr>
          <w:p w14:paraId="4D0F03A0" w14:textId="77777777" w:rsidR="00EA56F7" w:rsidRPr="00EA56F7" w:rsidRDefault="00EA56F7" w:rsidP="00EA56F7">
            <w:pPr>
              <w:widowControl/>
              <w:jc w:val="center"/>
              <w:rPr>
                <w:rFonts w:ascii="宋体" w:eastAsia="宋体" w:hAnsi="宋体" w:cs="宋体"/>
                <w:b/>
                <w:bCs/>
                <w:sz w:val="24"/>
                <w:szCs w:val="24"/>
              </w:rPr>
            </w:pPr>
            <w:r w:rsidRPr="00EA56F7">
              <w:rPr>
                <w:rFonts w:ascii="宋体" w:eastAsia="宋体" w:hAnsi="宋体" w:cs="宋体" w:hint="eastAsia"/>
                <w:b/>
                <w:bCs/>
                <w:sz w:val="24"/>
                <w:szCs w:val="24"/>
              </w:rPr>
              <w:t>境内</w:t>
            </w:r>
          </w:p>
        </w:tc>
        <w:tc>
          <w:tcPr>
            <w:tcW w:w="395" w:type="pct"/>
            <w:vAlign w:val="center"/>
          </w:tcPr>
          <w:p w14:paraId="540AE44B" w14:textId="77777777" w:rsidR="00EA56F7" w:rsidRPr="00EA56F7" w:rsidRDefault="00EA56F7" w:rsidP="00EA56F7">
            <w:pPr>
              <w:widowControl/>
              <w:jc w:val="center"/>
              <w:rPr>
                <w:rFonts w:ascii="宋体" w:eastAsia="宋体" w:hAnsi="宋体" w:cs="宋体"/>
                <w:b/>
                <w:bCs/>
                <w:sz w:val="24"/>
                <w:szCs w:val="24"/>
              </w:rPr>
            </w:pPr>
            <w:r w:rsidRPr="00EA56F7">
              <w:rPr>
                <w:rFonts w:ascii="宋体" w:eastAsia="宋体" w:hAnsi="宋体" w:cs="宋体" w:hint="eastAsia"/>
                <w:b/>
                <w:bCs/>
                <w:sz w:val="24"/>
                <w:szCs w:val="24"/>
              </w:rPr>
              <w:t>境外</w:t>
            </w:r>
          </w:p>
        </w:tc>
        <w:tc>
          <w:tcPr>
            <w:tcW w:w="732" w:type="pct"/>
            <w:vMerge/>
            <w:tcBorders>
              <w:bottom w:val="single" w:sz="4" w:space="0" w:color="auto"/>
              <w:right w:val="single" w:sz="12" w:space="0" w:color="auto"/>
            </w:tcBorders>
            <w:vAlign w:val="center"/>
          </w:tcPr>
          <w:p w14:paraId="40E502EA" w14:textId="77777777" w:rsidR="00EA56F7" w:rsidRPr="00EA56F7" w:rsidRDefault="00EA56F7" w:rsidP="00EA56F7">
            <w:pPr>
              <w:jc w:val="center"/>
              <w:rPr>
                <w:rFonts w:ascii="宋体" w:eastAsia="宋体" w:hAnsi="宋体" w:cs="宋体"/>
                <w:b/>
                <w:bCs/>
                <w:sz w:val="24"/>
                <w:szCs w:val="24"/>
              </w:rPr>
            </w:pPr>
          </w:p>
        </w:tc>
      </w:tr>
      <w:tr w:rsidR="00EA56F7" w:rsidRPr="00EA56F7" w14:paraId="4676116D" w14:textId="77777777" w:rsidTr="00EA56F7">
        <w:trPr>
          <w:trHeight w:val="454"/>
          <w:jc w:val="center"/>
        </w:trPr>
        <w:tc>
          <w:tcPr>
            <w:tcW w:w="399" w:type="pct"/>
            <w:tcBorders>
              <w:top w:val="single" w:sz="4" w:space="0" w:color="auto"/>
            </w:tcBorders>
            <w:vAlign w:val="center"/>
          </w:tcPr>
          <w:p w14:paraId="1A01E861" w14:textId="77777777" w:rsidR="00EA56F7" w:rsidRPr="00EA56F7" w:rsidRDefault="00EA56F7" w:rsidP="00EA56F7">
            <w:pPr>
              <w:widowControl/>
              <w:jc w:val="center"/>
              <w:rPr>
                <w:rFonts w:ascii="宋体" w:eastAsia="宋体" w:hAnsi="宋体" w:cs="宋体"/>
                <w:color w:val="000000"/>
                <w:kern w:val="0"/>
                <w:sz w:val="24"/>
                <w:szCs w:val="24"/>
              </w:rPr>
            </w:pPr>
            <w:r w:rsidRPr="00EA56F7">
              <w:rPr>
                <w:rFonts w:ascii="宋体" w:eastAsia="宋体" w:hAnsi="宋体" w:cs="宋体" w:hint="eastAsia"/>
                <w:color w:val="000000"/>
                <w:kern w:val="0"/>
                <w:sz w:val="24"/>
                <w:szCs w:val="24"/>
              </w:rPr>
              <w:t>2020</w:t>
            </w:r>
          </w:p>
        </w:tc>
        <w:tc>
          <w:tcPr>
            <w:tcW w:w="369" w:type="pct"/>
            <w:tcBorders>
              <w:top w:val="single" w:sz="4" w:space="0" w:color="auto"/>
              <w:bottom w:val="single" w:sz="4" w:space="0" w:color="auto"/>
            </w:tcBorders>
            <w:vAlign w:val="center"/>
          </w:tcPr>
          <w:p w14:paraId="563CA382" w14:textId="77777777" w:rsidR="00EA56F7" w:rsidRPr="00EA56F7" w:rsidRDefault="00EA56F7" w:rsidP="00EA56F7">
            <w:pPr>
              <w:adjustRightInd w:val="0"/>
              <w:snapToGrid w:val="0"/>
              <w:jc w:val="center"/>
              <w:rPr>
                <w:rFonts w:ascii="宋体" w:eastAsia="宋体" w:hAnsi="宋体" w:cs="宋体"/>
                <w:color w:val="000000"/>
                <w:kern w:val="0"/>
                <w:sz w:val="24"/>
                <w:szCs w:val="24"/>
              </w:rPr>
            </w:pPr>
            <w:r w:rsidRPr="00EA56F7">
              <w:rPr>
                <w:rFonts w:ascii="宋体" w:eastAsia="宋体" w:hAnsi="宋体" w:cs="宋体" w:hint="eastAsia"/>
                <w:color w:val="000000"/>
                <w:kern w:val="0"/>
                <w:sz w:val="24"/>
                <w:szCs w:val="24"/>
              </w:rPr>
              <w:t>硕士</w:t>
            </w:r>
          </w:p>
        </w:tc>
        <w:tc>
          <w:tcPr>
            <w:tcW w:w="542" w:type="pct"/>
            <w:tcBorders>
              <w:top w:val="single" w:sz="4" w:space="0" w:color="auto"/>
              <w:bottom w:val="single" w:sz="4" w:space="0" w:color="auto"/>
            </w:tcBorders>
            <w:vAlign w:val="center"/>
          </w:tcPr>
          <w:p w14:paraId="6F599CFF" w14:textId="0FC74014" w:rsidR="00EA56F7" w:rsidRPr="00EA56F7" w:rsidRDefault="00EA56F7" w:rsidP="00EA56F7">
            <w:pPr>
              <w:adjustRightInd w:val="0"/>
              <w:snapToGrid w:val="0"/>
              <w:jc w:val="center"/>
              <w:rPr>
                <w:rFonts w:ascii="宋体" w:eastAsia="宋体" w:hAnsi="宋体" w:cs="宋体"/>
                <w:bCs/>
                <w:sz w:val="24"/>
                <w:szCs w:val="24"/>
              </w:rPr>
            </w:pPr>
            <w:r>
              <w:rPr>
                <w:rFonts w:ascii="宋体" w:eastAsia="宋体" w:hAnsi="宋体" w:cs="宋体" w:hint="eastAsia"/>
                <w:bCs/>
                <w:sz w:val="24"/>
                <w:szCs w:val="24"/>
              </w:rPr>
              <w:t>6</w:t>
            </w:r>
          </w:p>
        </w:tc>
        <w:tc>
          <w:tcPr>
            <w:tcW w:w="473" w:type="pct"/>
            <w:tcBorders>
              <w:top w:val="single" w:sz="4" w:space="0" w:color="auto"/>
              <w:bottom w:val="single" w:sz="4" w:space="0" w:color="auto"/>
            </w:tcBorders>
            <w:vAlign w:val="center"/>
          </w:tcPr>
          <w:p w14:paraId="5BE8DC9E" w14:textId="7CF58AAB" w:rsidR="00EA56F7" w:rsidRPr="00EA56F7" w:rsidRDefault="00EA56F7" w:rsidP="00EA56F7">
            <w:pPr>
              <w:adjustRightInd w:val="0"/>
              <w:snapToGrid w:val="0"/>
              <w:jc w:val="center"/>
              <w:rPr>
                <w:rFonts w:ascii="宋体" w:eastAsia="宋体" w:hAnsi="宋体" w:cs="宋体"/>
                <w:bCs/>
                <w:sz w:val="24"/>
                <w:szCs w:val="24"/>
              </w:rPr>
            </w:pPr>
            <w:r>
              <w:rPr>
                <w:rFonts w:ascii="宋体" w:eastAsia="宋体" w:hAnsi="宋体" w:cs="宋体" w:hint="eastAsia"/>
                <w:bCs/>
                <w:sz w:val="24"/>
                <w:szCs w:val="24"/>
              </w:rPr>
              <w:t>6</w:t>
            </w:r>
          </w:p>
        </w:tc>
        <w:tc>
          <w:tcPr>
            <w:tcW w:w="926" w:type="pct"/>
            <w:tcBorders>
              <w:top w:val="single" w:sz="4" w:space="0" w:color="auto"/>
              <w:bottom w:val="single" w:sz="4" w:space="0" w:color="auto"/>
            </w:tcBorders>
            <w:vAlign w:val="center"/>
          </w:tcPr>
          <w:p w14:paraId="0F648E84" w14:textId="0215D17C" w:rsidR="00EA56F7" w:rsidRPr="00EA56F7" w:rsidRDefault="00457472" w:rsidP="00EA56F7">
            <w:pPr>
              <w:adjustRightInd w:val="0"/>
              <w:snapToGrid w:val="0"/>
              <w:jc w:val="center"/>
              <w:rPr>
                <w:rFonts w:ascii="宋体" w:eastAsia="宋体" w:hAnsi="宋体" w:cs="宋体"/>
                <w:bCs/>
                <w:sz w:val="24"/>
                <w:szCs w:val="24"/>
              </w:rPr>
            </w:pPr>
            <w:r>
              <w:rPr>
                <w:rFonts w:ascii="宋体" w:eastAsia="宋体" w:hAnsi="宋体" w:cs="宋体" w:hint="eastAsia"/>
                <w:bCs/>
                <w:sz w:val="24"/>
                <w:szCs w:val="24"/>
              </w:rPr>
              <w:t>2</w:t>
            </w:r>
          </w:p>
        </w:tc>
        <w:tc>
          <w:tcPr>
            <w:tcW w:w="389" w:type="pct"/>
            <w:tcBorders>
              <w:top w:val="single" w:sz="4" w:space="0" w:color="auto"/>
              <w:bottom w:val="single" w:sz="4" w:space="0" w:color="auto"/>
            </w:tcBorders>
            <w:vAlign w:val="center"/>
          </w:tcPr>
          <w:p w14:paraId="1FBC0DC2" w14:textId="77777777" w:rsidR="00EA56F7" w:rsidRPr="00EA56F7" w:rsidRDefault="00EA56F7" w:rsidP="00EA56F7">
            <w:pPr>
              <w:adjustRightInd w:val="0"/>
              <w:snapToGrid w:val="0"/>
              <w:jc w:val="center"/>
              <w:rPr>
                <w:rFonts w:ascii="宋体" w:eastAsia="宋体" w:hAnsi="宋体" w:cs="宋体"/>
                <w:bCs/>
                <w:sz w:val="24"/>
                <w:szCs w:val="24"/>
              </w:rPr>
            </w:pPr>
            <w:r w:rsidRPr="00EA56F7">
              <w:rPr>
                <w:rFonts w:ascii="宋体" w:eastAsia="宋体" w:hAnsi="宋体" w:cs="宋体" w:hint="eastAsia"/>
                <w:bCs/>
                <w:sz w:val="24"/>
                <w:szCs w:val="24"/>
              </w:rPr>
              <w:t>0</w:t>
            </w:r>
          </w:p>
        </w:tc>
        <w:tc>
          <w:tcPr>
            <w:tcW w:w="389" w:type="pct"/>
            <w:tcBorders>
              <w:top w:val="single" w:sz="4" w:space="0" w:color="auto"/>
              <w:bottom w:val="single" w:sz="4" w:space="0" w:color="auto"/>
            </w:tcBorders>
            <w:vAlign w:val="center"/>
          </w:tcPr>
          <w:p w14:paraId="0C68A0F9" w14:textId="57E59D80" w:rsidR="00EA56F7" w:rsidRPr="00EA56F7" w:rsidRDefault="00EA56F7" w:rsidP="00EA56F7">
            <w:pPr>
              <w:adjustRightInd w:val="0"/>
              <w:snapToGrid w:val="0"/>
              <w:jc w:val="center"/>
              <w:rPr>
                <w:rFonts w:ascii="宋体" w:eastAsia="宋体" w:hAnsi="宋体" w:cs="宋体"/>
                <w:bCs/>
                <w:sz w:val="24"/>
                <w:szCs w:val="24"/>
              </w:rPr>
            </w:pPr>
            <w:r>
              <w:rPr>
                <w:rFonts w:ascii="宋体" w:eastAsia="宋体" w:hAnsi="宋体" w:cs="宋体" w:hint="eastAsia"/>
                <w:bCs/>
                <w:sz w:val="24"/>
                <w:szCs w:val="24"/>
              </w:rPr>
              <w:t>0</w:t>
            </w:r>
          </w:p>
        </w:tc>
        <w:tc>
          <w:tcPr>
            <w:tcW w:w="387" w:type="pct"/>
            <w:tcBorders>
              <w:top w:val="single" w:sz="4" w:space="0" w:color="auto"/>
              <w:bottom w:val="single" w:sz="4" w:space="0" w:color="auto"/>
            </w:tcBorders>
            <w:vAlign w:val="center"/>
          </w:tcPr>
          <w:p w14:paraId="24F42D9A" w14:textId="64DE4897" w:rsidR="00EA56F7" w:rsidRPr="00EA56F7" w:rsidRDefault="00EA56F7" w:rsidP="00EA56F7">
            <w:pPr>
              <w:adjustRightInd w:val="0"/>
              <w:snapToGrid w:val="0"/>
              <w:jc w:val="center"/>
              <w:rPr>
                <w:rFonts w:ascii="宋体" w:eastAsia="宋体" w:hAnsi="宋体" w:cs="宋体"/>
                <w:bCs/>
                <w:sz w:val="24"/>
                <w:szCs w:val="24"/>
              </w:rPr>
            </w:pPr>
            <w:r>
              <w:rPr>
                <w:rFonts w:ascii="宋体" w:eastAsia="宋体" w:hAnsi="宋体" w:cs="宋体" w:hint="eastAsia"/>
                <w:bCs/>
                <w:sz w:val="24"/>
                <w:szCs w:val="24"/>
              </w:rPr>
              <w:t>0</w:t>
            </w:r>
          </w:p>
        </w:tc>
        <w:tc>
          <w:tcPr>
            <w:tcW w:w="395" w:type="pct"/>
            <w:tcBorders>
              <w:top w:val="single" w:sz="4" w:space="0" w:color="auto"/>
              <w:bottom w:val="single" w:sz="4" w:space="0" w:color="auto"/>
            </w:tcBorders>
            <w:vAlign w:val="center"/>
          </w:tcPr>
          <w:p w14:paraId="468628D0" w14:textId="77777777" w:rsidR="00EA56F7" w:rsidRPr="00EA56F7" w:rsidRDefault="00EA56F7" w:rsidP="00EA56F7">
            <w:pPr>
              <w:adjustRightInd w:val="0"/>
              <w:snapToGrid w:val="0"/>
              <w:jc w:val="center"/>
              <w:rPr>
                <w:rFonts w:ascii="宋体" w:eastAsia="宋体" w:hAnsi="宋体" w:cs="宋体"/>
                <w:bCs/>
                <w:sz w:val="24"/>
                <w:szCs w:val="24"/>
              </w:rPr>
            </w:pPr>
            <w:r w:rsidRPr="00EA56F7">
              <w:rPr>
                <w:rFonts w:ascii="宋体" w:eastAsia="宋体" w:hAnsi="宋体" w:cs="宋体" w:hint="eastAsia"/>
                <w:bCs/>
                <w:sz w:val="24"/>
                <w:szCs w:val="24"/>
              </w:rPr>
              <w:t>0</w:t>
            </w:r>
          </w:p>
        </w:tc>
        <w:tc>
          <w:tcPr>
            <w:tcW w:w="732" w:type="pct"/>
            <w:tcBorders>
              <w:top w:val="single" w:sz="4" w:space="0" w:color="auto"/>
              <w:bottom w:val="single" w:sz="4" w:space="0" w:color="auto"/>
            </w:tcBorders>
            <w:vAlign w:val="center"/>
          </w:tcPr>
          <w:p w14:paraId="23D8926C" w14:textId="03B6009C" w:rsidR="00EA56F7" w:rsidRPr="00EA56F7" w:rsidRDefault="00EA56F7" w:rsidP="00EA56F7">
            <w:pPr>
              <w:adjustRightInd w:val="0"/>
              <w:snapToGrid w:val="0"/>
              <w:jc w:val="center"/>
              <w:rPr>
                <w:rFonts w:ascii="宋体" w:eastAsia="宋体" w:hAnsi="宋体" w:cs="宋体"/>
                <w:bCs/>
                <w:sz w:val="24"/>
                <w:szCs w:val="24"/>
              </w:rPr>
            </w:pPr>
            <w:r w:rsidRPr="00EA56F7">
              <w:rPr>
                <w:rFonts w:ascii="宋体" w:eastAsia="宋体" w:hAnsi="宋体" w:cs="宋体" w:hint="eastAsia"/>
                <w:bCs/>
                <w:sz w:val="24"/>
                <w:szCs w:val="24"/>
              </w:rPr>
              <w:t>2（</w:t>
            </w:r>
            <w:r>
              <w:rPr>
                <w:rFonts w:ascii="宋体" w:eastAsia="宋体" w:hAnsi="宋体" w:cs="宋体" w:hint="eastAsia"/>
                <w:bCs/>
                <w:sz w:val="24"/>
                <w:szCs w:val="24"/>
              </w:rPr>
              <w:t>3</w:t>
            </w:r>
            <w:r>
              <w:rPr>
                <w:rFonts w:ascii="宋体" w:eastAsia="宋体" w:hAnsi="宋体" w:cs="宋体"/>
                <w:bCs/>
                <w:sz w:val="24"/>
                <w:szCs w:val="24"/>
              </w:rPr>
              <w:t>3</w:t>
            </w:r>
            <w:r w:rsidRPr="00EA56F7">
              <w:rPr>
                <w:rFonts w:ascii="宋体" w:eastAsia="宋体" w:hAnsi="宋体" w:cs="宋体" w:hint="eastAsia"/>
                <w:bCs/>
                <w:sz w:val="24"/>
                <w:szCs w:val="24"/>
              </w:rPr>
              <w:t>.</w:t>
            </w:r>
            <w:r>
              <w:rPr>
                <w:rFonts w:ascii="宋体" w:eastAsia="宋体" w:hAnsi="宋体" w:cs="宋体"/>
                <w:bCs/>
                <w:sz w:val="24"/>
                <w:szCs w:val="24"/>
              </w:rPr>
              <w:t>3</w:t>
            </w:r>
            <w:r w:rsidRPr="00EA56F7">
              <w:rPr>
                <w:rFonts w:ascii="宋体" w:eastAsia="宋体" w:hAnsi="宋体" w:cs="宋体" w:hint="eastAsia"/>
                <w:bCs/>
                <w:sz w:val="24"/>
                <w:szCs w:val="24"/>
              </w:rPr>
              <w:t>%）</w:t>
            </w:r>
          </w:p>
        </w:tc>
      </w:tr>
    </w:tbl>
    <w:p w14:paraId="61B845E3" w14:textId="11A6A61C" w:rsidR="002D6314" w:rsidRPr="00457472" w:rsidRDefault="002D6314" w:rsidP="00457472">
      <w:pPr>
        <w:spacing w:line="520" w:lineRule="exact"/>
        <w:ind w:firstLineChars="200" w:firstLine="480"/>
        <w:rPr>
          <w:rFonts w:ascii="宋体" w:eastAsia="宋体" w:hAnsi="宋体" w:cs="宋体"/>
          <w:color w:val="000000"/>
          <w:sz w:val="24"/>
          <w:szCs w:val="24"/>
        </w:rPr>
      </w:pPr>
    </w:p>
    <w:p w14:paraId="413F32AC" w14:textId="658AF3E0" w:rsidR="00457472" w:rsidRPr="00457472" w:rsidRDefault="00457472" w:rsidP="00457472">
      <w:pPr>
        <w:spacing w:line="520" w:lineRule="exact"/>
        <w:ind w:firstLineChars="200" w:firstLine="480"/>
        <w:rPr>
          <w:rFonts w:ascii="宋体" w:eastAsia="宋体" w:hAnsi="宋体" w:cs="宋体"/>
          <w:color w:val="000000"/>
          <w:sz w:val="24"/>
          <w:szCs w:val="24"/>
        </w:rPr>
      </w:pPr>
      <w:r w:rsidRPr="00457472">
        <w:rPr>
          <w:rFonts w:ascii="宋体" w:eastAsia="宋体" w:hAnsi="宋体" w:cs="宋体" w:hint="eastAsia"/>
          <w:color w:val="000000"/>
          <w:sz w:val="24"/>
          <w:szCs w:val="24"/>
        </w:rPr>
        <w:t>山西大学世界史学科始终秉持“鉴古知今”的史学传统，关注现实、立足三晋、放眼世界，尤其鉴于国家一带一路建设、国内国际双循环相互促进发展，以及山西省形成全方位开放格局，加强国际经济合作，外贸外资稳速提质，打造国际级装备制造业，提升山西文化</w:t>
      </w:r>
      <w:proofErr w:type="gramStart"/>
      <w:r w:rsidRPr="00457472">
        <w:rPr>
          <w:rFonts w:ascii="宋体" w:eastAsia="宋体" w:hAnsi="宋体" w:cs="宋体" w:hint="eastAsia"/>
          <w:color w:val="000000"/>
          <w:sz w:val="24"/>
          <w:szCs w:val="24"/>
        </w:rPr>
        <w:t>软实力</w:t>
      </w:r>
      <w:proofErr w:type="gramEnd"/>
      <w:r w:rsidRPr="00457472">
        <w:rPr>
          <w:rFonts w:ascii="宋体" w:eastAsia="宋体" w:hAnsi="宋体" w:cs="宋体" w:hint="eastAsia"/>
          <w:color w:val="000000"/>
          <w:sz w:val="24"/>
          <w:szCs w:val="24"/>
        </w:rPr>
        <w:t>国际影响的需要，注重挖掘学科潜能及团队潜力，强化服务意识，凝神聚力，服务地方经济、社会、文化发展，做出了自己独特的贡献。</w:t>
      </w:r>
    </w:p>
    <w:p w14:paraId="5378B1B4" w14:textId="1F7CDE6E" w:rsidR="00303EF9" w:rsidRDefault="00303EF9" w:rsidP="00303EF9">
      <w:pPr>
        <w:rPr>
          <w:rFonts w:asciiTheme="minorEastAsia" w:hAnsiTheme="minorEastAsia"/>
          <w:b/>
          <w:sz w:val="28"/>
          <w:szCs w:val="28"/>
        </w:rPr>
      </w:pPr>
      <w:r w:rsidRPr="00303EF9">
        <w:rPr>
          <w:rFonts w:asciiTheme="minorEastAsia" w:hAnsiTheme="minorEastAsia" w:hint="eastAsia"/>
          <w:b/>
          <w:sz w:val="28"/>
          <w:szCs w:val="28"/>
        </w:rPr>
        <w:t>三、学位</w:t>
      </w:r>
      <w:r w:rsidR="0065518C">
        <w:rPr>
          <w:rFonts w:asciiTheme="minorEastAsia" w:hAnsiTheme="minorEastAsia" w:hint="eastAsia"/>
          <w:b/>
          <w:sz w:val="28"/>
          <w:szCs w:val="28"/>
        </w:rPr>
        <w:t>授权</w:t>
      </w:r>
      <w:r w:rsidRPr="00303EF9">
        <w:rPr>
          <w:rFonts w:asciiTheme="minorEastAsia" w:hAnsiTheme="minorEastAsia" w:hint="eastAsia"/>
          <w:b/>
          <w:sz w:val="28"/>
          <w:szCs w:val="28"/>
        </w:rPr>
        <w:t>点建设存在的问题</w:t>
      </w:r>
    </w:p>
    <w:p w14:paraId="58876E7B" w14:textId="3F21EBA8" w:rsidR="00BF1FBA" w:rsidRDefault="00BF1FBA" w:rsidP="00BF1FBA">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2020年世界史学科建设取得了一定进步，但也还存在明显的不足：</w:t>
      </w:r>
    </w:p>
    <w:p w14:paraId="5EA659DF" w14:textId="3878530E" w:rsidR="00BF1FBA" w:rsidRDefault="00BF1FBA" w:rsidP="00BF1FBA">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w:t>
      </w:r>
      <w:r w:rsidR="008577C8">
        <w:rPr>
          <w:rFonts w:ascii="宋体" w:eastAsia="宋体" w:hAnsi="宋体" w:cs="宋体" w:hint="eastAsia"/>
          <w:sz w:val="24"/>
          <w:szCs w:val="24"/>
        </w:rPr>
        <w:t>世界</w:t>
      </w:r>
      <w:r>
        <w:rPr>
          <w:rFonts w:ascii="宋体" w:eastAsia="宋体" w:hAnsi="宋体" w:cs="宋体" w:hint="eastAsia"/>
          <w:sz w:val="24"/>
          <w:szCs w:val="24"/>
        </w:rPr>
        <w:t>史学科</w:t>
      </w:r>
      <w:r w:rsidR="008577C8">
        <w:rPr>
          <w:rFonts w:ascii="宋体" w:eastAsia="宋体" w:hAnsi="宋体" w:cs="宋体" w:hint="eastAsia"/>
          <w:sz w:val="24"/>
          <w:szCs w:val="24"/>
        </w:rPr>
        <w:t>师资队伍规模偏小</w:t>
      </w:r>
      <w:r>
        <w:rPr>
          <w:rFonts w:ascii="宋体" w:eastAsia="宋体" w:hAnsi="宋体" w:cs="宋体" w:hint="eastAsia"/>
          <w:sz w:val="24"/>
          <w:szCs w:val="24"/>
        </w:rPr>
        <w:t>，</w:t>
      </w:r>
      <w:r w:rsidR="008577C8">
        <w:rPr>
          <w:rFonts w:ascii="宋体" w:eastAsia="宋体" w:hAnsi="宋体" w:cs="宋体" w:hint="eastAsia"/>
          <w:sz w:val="24"/>
          <w:szCs w:val="24"/>
        </w:rPr>
        <w:t>学科方向和特色不鲜明，学术成果的数量和质量都有待提高</w:t>
      </w:r>
      <w:r>
        <w:rPr>
          <w:rFonts w:ascii="宋体" w:eastAsia="宋体" w:hAnsi="宋体" w:cs="宋体" w:hint="eastAsia"/>
          <w:sz w:val="24"/>
          <w:szCs w:val="24"/>
        </w:rPr>
        <w:t>，整体科研实力</w:t>
      </w:r>
      <w:r w:rsidR="008577C8">
        <w:rPr>
          <w:rFonts w:ascii="宋体" w:eastAsia="宋体" w:hAnsi="宋体" w:cs="宋体" w:hint="eastAsia"/>
          <w:sz w:val="24"/>
          <w:szCs w:val="24"/>
        </w:rPr>
        <w:t>不强</w:t>
      </w:r>
      <w:r>
        <w:rPr>
          <w:rFonts w:ascii="宋体" w:eastAsia="宋体" w:hAnsi="宋体" w:cs="宋体" w:hint="eastAsia"/>
          <w:sz w:val="24"/>
          <w:szCs w:val="24"/>
        </w:rPr>
        <w:t>。</w:t>
      </w:r>
    </w:p>
    <w:p w14:paraId="2ED29D26" w14:textId="38E0E84B" w:rsidR="00BF1FBA" w:rsidRDefault="00BF1FBA" w:rsidP="00BF1FBA">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2.</w:t>
      </w:r>
      <w:r w:rsidR="008577C8">
        <w:rPr>
          <w:rFonts w:ascii="宋体" w:eastAsia="宋体" w:hAnsi="宋体" w:cs="宋体" w:hint="eastAsia"/>
          <w:sz w:val="24"/>
          <w:szCs w:val="24"/>
        </w:rPr>
        <w:t>世界</w:t>
      </w:r>
      <w:r>
        <w:rPr>
          <w:rFonts w:ascii="宋体" w:eastAsia="宋体" w:hAnsi="宋体" w:cs="宋体" w:hint="eastAsia"/>
          <w:sz w:val="24"/>
          <w:szCs w:val="24"/>
        </w:rPr>
        <w:t>史学科建设经费不足，各方面建设均捉襟见肘，在</w:t>
      </w:r>
      <w:r w:rsidR="008577C8">
        <w:rPr>
          <w:rFonts w:ascii="宋体" w:eastAsia="宋体" w:hAnsi="宋体" w:cs="宋体" w:hint="eastAsia"/>
          <w:sz w:val="24"/>
          <w:szCs w:val="24"/>
        </w:rPr>
        <w:t>外文资料建设、学术交流平台搭建、</w:t>
      </w:r>
      <w:r>
        <w:rPr>
          <w:rFonts w:ascii="宋体" w:eastAsia="宋体" w:hAnsi="宋体" w:cs="宋体" w:hint="eastAsia"/>
          <w:sz w:val="24"/>
          <w:szCs w:val="24"/>
        </w:rPr>
        <w:t>学生的国际化培养方面</w:t>
      </w:r>
      <w:r w:rsidR="008577C8">
        <w:rPr>
          <w:rFonts w:ascii="宋体" w:eastAsia="宋体" w:hAnsi="宋体" w:cs="宋体" w:hint="eastAsia"/>
          <w:sz w:val="24"/>
          <w:szCs w:val="24"/>
        </w:rPr>
        <w:t>等</w:t>
      </w:r>
      <w:r>
        <w:rPr>
          <w:rFonts w:ascii="宋体" w:eastAsia="宋体" w:hAnsi="宋体" w:cs="宋体" w:hint="eastAsia"/>
          <w:sz w:val="24"/>
          <w:szCs w:val="24"/>
        </w:rPr>
        <w:t>举步维艰。</w:t>
      </w:r>
    </w:p>
    <w:p w14:paraId="60E38C2D" w14:textId="5752642A" w:rsidR="00BF1FBA" w:rsidRDefault="00BF1FBA" w:rsidP="00BF1FBA">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3.</w:t>
      </w:r>
      <w:r w:rsidR="008577C8">
        <w:rPr>
          <w:rFonts w:ascii="宋体" w:eastAsia="宋体" w:hAnsi="宋体" w:cs="宋体" w:hint="eastAsia"/>
          <w:sz w:val="24"/>
          <w:szCs w:val="24"/>
        </w:rPr>
        <w:t>世界</w:t>
      </w:r>
      <w:r>
        <w:rPr>
          <w:rFonts w:ascii="宋体" w:eastAsia="宋体" w:hAnsi="宋体" w:cs="宋体" w:hint="eastAsia"/>
          <w:sz w:val="24"/>
          <w:szCs w:val="24"/>
        </w:rPr>
        <w:t>史学科建设与地方社会经济建设结合不够，一方面降低了服务社会的能力，一方面影响了学术增长点的开拓。</w:t>
      </w:r>
    </w:p>
    <w:p w14:paraId="146DEF71" w14:textId="77777777" w:rsidR="00BF1FBA" w:rsidRPr="00BF1FBA" w:rsidRDefault="00BF1FBA" w:rsidP="00303EF9">
      <w:pPr>
        <w:rPr>
          <w:rFonts w:asciiTheme="minorEastAsia" w:hAnsiTheme="minorEastAsia"/>
          <w:b/>
          <w:sz w:val="28"/>
          <w:szCs w:val="28"/>
        </w:rPr>
      </w:pPr>
    </w:p>
    <w:p w14:paraId="58461F54" w14:textId="77777777" w:rsidR="00303EF9" w:rsidRPr="00303EF9" w:rsidRDefault="00303EF9" w:rsidP="00303EF9">
      <w:pPr>
        <w:rPr>
          <w:rFonts w:asciiTheme="minorEastAsia" w:hAnsiTheme="minorEastAsia"/>
          <w:b/>
          <w:sz w:val="28"/>
          <w:szCs w:val="28"/>
        </w:rPr>
      </w:pPr>
      <w:r w:rsidRPr="00303EF9">
        <w:rPr>
          <w:rFonts w:asciiTheme="minorEastAsia" w:hAnsiTheme="minorEastAsia" w:hint="eastAsia"/>
          <w:b/>
          <w:sz w:val="28"/>
          <w:szCs w:val="28"/>
        </w:rPr>
        <w:t>四、</w:t>
      </w:r>
      <w:r w:rsidR="004E64ED">
        <w:rPr>
          <w:rFonts w:asciiTheme="minorEastAsia" w:hAnsiTheme="minorEastAsia" w:hint="eastAsia"/>
          <w:b/>
          <w:sz w:val="28"/>
          <w:szCs w:val="28"/>
        </w:rPr>
        <w:t>2021年</w:t>
      </w:r>
      <w:r w:rsidR="004E64ED" w:rsidRPr="00303EF9">
        <w:rPr>
          <w:rFonts w:asciiTheme="minorEastAsia" w:hAnsiTheme="minorEastAsia" w:hint="eastAsia"/>
          <w:b/>
          <w:sz w:val="28"/>
          <w:szCs w:val="28"/>
        </w:rPr>
        <w:t>学位</w:t>
      </w:r>
      <w:r w:rsidR="004E64ED">
        <w:rPr>
          <w:rFonts w:asciiTheme="minorEastAsia" w:hAnsiTheme="minorEastAsia" w:hint="eastAsia"/>
          <w:b/>
          <w:sz w:val="28"/>
          <w:szCs w:val="28"/>
        </w:rPr>
        <w:t>授权</w:t>
      </w:r>
      <w:r w:rsidR="004E64ED" w:rsidRPr="00303EF9">
        <w:rPr>
          <w:rFonts w:asciiTheme="minorEastAsia" w:hAnsiTheme="minorEastAsia" w:hint="eastAsia"/>
          <w:b/>
          <w:sz w:val="28"/>
          <w:szCs w:val="28"/>
        </w:rPr>
        <w:t>点</w:t>
      </w:r>
      <w:r w:rsidRPr="00303EF9">
        <w:rPr>
          <w:rFonts w:asciiTheme="minorEastAsia" w:hAnsiTheme="minorEastAsia" w:hint="eastAsia"/>
          <w:b/>
          <w:sz w:val="28"/>
          <w:szCs w:val="28"/>
        </w:rPr>
        <w:t>建设计划</w:t>
      </w:r>
    </w:p>
    <w:p w14:paraId="7385D77D" w14:textId="77777777" w:rsidR="00703CE7" w:rsidRPr="00703CE7" w:rsidRDefault="00703CE7" w:rsidP="00703CE7">
      <w:pPr>
        <w:snapToGrid w:val="0"/>
        <w:spacing w:line="520" w:lineRule="exact"/>
        <w:ind w:firstLineChars="200" w:firstLine="482"/>
        <w:rPr>
          <w:rFonts w:ascii="宋体" w:eastAsia="宋体" w:hAnsi="宋体" w:cs="宋体"/>
          <w:b/>
          <w:bCs/>
          <w:sz w:val="24"/>
          <w:szCs w:val="24"/>
        </w:rPr>
      </w:pPr>
      <w:r w:rsidRPr="00703CE7">
        <w:rPr>
          <w:rFonts w:ascii="宋体" w:eastAsia="宋体" w:hAnsi="宋体" w:cs="宋体" w:hint="eastAsia"/>
          <w:b/>
          <w:bCs/>
          <w:sz w:val="24"/>
          <w:szCs w:val="24"/>
        </w:rPr>
        <w:t>1.发展目标</w:t>
      </w:r>
    </w:p>
    <w:p w14:paraId="70A8C8D3" w14:textId="348CF759" w:rsidR="00703CE7" w:rsidRPr="00703CE7" w:rsidRDefault="00703CE7" w:rsidP="00703CE7">
      <w:pPr>
        <w:snapToGrid w:val="0"/>
        <w:spacing w:line="520" w:lineRule="exact"/>
        <w:ind w:firstLineChars="200" w:firstLine="480"/>
        <w:rPr>
          <w:rFonts w:ascii="宋体" w:eastAsia="宋体" w:hAnsi="宋体" w:cs="宋体"/>
          <w:color w:val="000000"/>
          <w:sz w:val="24"/>
          <w:szCs w:val="24"/>
        </w:rPr>
      </w:pPr>
      <w:r w:rsidRPr="00703CE7">
        <w:rPr>
          <w:rFonts w:ascii="宋体" w:eastAsia="宋体" w:hAnsi="宋体" w:cs="宋体" w:hint="eastAsia"/>
          <w:color w:val="000000"/>
          <w:sz w:val="24"/>
          <w:szCs w:val="24"/>
        </w:rPr>
        <w:t>（1）进一步壮大教师队伍，2023年教师总数力争达到</w:t>
      </w:r>
      <w:r>
        <w:rPr>
          <w:rFonts w:ascii="宋体" w:eastAsia="宋体" w:hAnsi="宋体" w:cs="宋体"/>
          <w:color w:val="000000"/>
          <w:sz w:val="24"/>
          <w:szCs w:val="24"/>
        </w:rPr>
        <w:t>18</w:t>
      </w:r>
      <w:r w:rsidRPr="00703CE7">
        <w:rPr>
          <w:rFonts w:ascii="宋体" w:eastAsia="宋体" w:hAnsi="宋体" w:cs="宋体" w:hint="eastAsia"/>
          <w:color w:val="000000"/>
          <w:sz w:val="24"/>
          <w:szCs w:val="24"/>
        </w:rPr>
        <w:t>人左右。进一步凝练科研方向，</w:t>
      </w:r>
      <w:r>
        <w:rPr>
          <w:rFonts w:ascii="宋体" w:eastAsia="宋体" w:hAnsi="宋体" w:cs="宋体" w:hint="eastAsia"/>
          <w:color w:val="000000"/>
          <w:sz w:val="24"/>
          <w:szCs w:val="24"/>
        </w:rPr>
        <w:t>形成学科特色，</w:t>
      </w:r>
      <w:r w:rsidRPr="00703CE7">
        <w:rPr>
          <w:rFonts w:ascii="宋体" w:eastAsia="宋体" w:hAnsi="宋体" w:cs="宋体" w:hint="eastAsia"/>
          <w:color w:val="000000"/>
          <w:sz w:val="24"/>
          <w:szCs w:val="24"/>
        </w:rPr>
        <w:t>在此基础上，</w:t>
      </w:r>
      <w:r>
        <w:rPr>
          <w:rFonts w:ascii="宋体" w:eastAsia="宋体" w:hAnsi="宋体" w:cs="宋体" w:hint="eastAsia"/>
          <w:color w:val="000000"/>
          <w:sz w:val="24"/>
          <w:szCs w:val="24"/>
        </w:rPr>
        <w:t>力争发表高水平论文5—1</w:t>
      </w:r>
      <w:r>
        <w:rPr>
          <w:rFonts w:ascii="宋体" w:eastAsia="宋体" w:hAnsi="宋体" w:cs="宋体"/>
          <w:color w:val="000000"/>
          <w:sz w:val="24"/>
          <w:szCs w:val="24"/>
        </w:rPr>
        <w:t>0</w:t>
      </w:r>
      <w:r>
        <w:rPr>
          <w:rFonts w:ascii="宋体" w:eastAsia="宋体" w:hAnsi="宋体" w:cs="宋体" w:hint="eastAsia"/>
          <w:color w:val="000000"/>
          <w:sz w:val="24"/>
          <w:szCs w:val="24"/>
        </w:rPr>
        <w:t>篇，</w:t>
      </w:r>
      <w:r w:rsidRPr="00703CE7">
        <w:rPr>
          <w:rFonts w:ascii="宋体" w:eastAsia="宋体" w:hAnsi="宋体" w:cs="宋体" w:hint="eastAsia"/>
          <w:color w:val="000000"/>
          <w:sz w:val="24"/>
          <w:szCs w:val="24"/>
        </w:rPr>
        <w:t>争取</w:t>
      </w:r>
      <w:r>
        <w:rPr>
          <w:rFonts w:ascii="宋体" w:eastAsia="宋体" w:hAnsi="宋体" w:cs="宋体" w:hint="eastAsia"/>
          <w:color w:val="000000"/>
          <w:sz w:val="24"/>
          <w:szCs w:val="24"/>
        </w:rPr>
        <w:t>国家级项目3—</w:t>
      </w:r>
      <w:r>
        <w:rPr>
          <w:rFonts w:ascii="宋体" w:eastAsia="宋体" w:hAnsi="宋体" w:cs="宋体"/>
          <w:color w:val="000000"/>
          <w:sz w:val="24"/>
          <w:szCs w:val="24"/>
        </w:rPr>
        <w:t>5</w:t>
      </w:r>
      <w:r>
        <w:rPr>
          <w:rFonts w:ascii="宋体" w:eastAsia="宋体" w:hAnsi="宋体" w:cs="宋体" w:hint="eastAsia"/>
          <w:color w:val="000000"/>
          <w:sz w:val="24"/>
          <w:szCs w:val="24"/>
        </w:rPr>
        <w:t>项，获得科研成果奖励3—5项。</w:t>
      </w:r>
    </w:p>
    <w:p w14:paraId="162D2E95" w14:textId="49A9B21F" w:rsidR="00703CE7" w:rsidRPr="00703CE7" w:rsidRDefault="00703CE7" w:rsidP="00703CE7">
      <w:pPr>
        <w:snapToGrid w:val="0"/>
        <w:spacing w:line="520" w:lineRule="exact"/>
        <w:ind w:firstLineChars="200" w:firstLine="480"/>
        <w:rPr>
          <w:rFonts w:ascii="宋体" w:eastAsia="宋体" w:hAnsi="宋体" w:cs="宋体"/>
          <w:color w:val="000000"/>
          <w:sz w:val="24"/>
          <w:szCs w:val="24"/>
        </w:rPr>
      </w:pPr>
      <w:r w:rsidRPr="00703CE7">
        <w:rPr>
          <w:rFonts w:ascii="宋体" w:eastAsia="宋体" w:hAnsi="宋体" w:cs="宋体" w:hint="eastAsia"/>
          <w:color w:val="000000"/>
          <w:sz w:val="24"/>
          <w:szCs w:val="24"/>
        </w:rPr>
        <w:t>（2）积极参与山西地方社会经济建设，积极为省委、省政府提供咨询报告和建议，提供国外经验，为资源</w:t>
      </w:r>
      <w:r>
        <w:rPr>
          <w:rFonts w:ascii="宋体" w:eastAsia="宋体" w:hAnsi="宋体" w:cs="宋体" w:hint="eastAsia"/>
          <w:color w:val="000000"/>
          <w:sz w:val="24"/>
          <w:szCs w:val="24"/>
        </w:rPr>
        <w:t>型地区高质量</w:t>
      </w:r>
      <w:r w:rsidRPr="00703CE7">
        <w:rPr>
          <w:rFonts w:ascii="宋体" w:eastAsia="宋体" w:hAnsi="宋体" w:cs="宋体" w:hint="eastAsia"/>
          <w:color w:val="000000"/>
          <w:sz w:val="24"/>
          <w:szCs w:val="24"/>
        </w:rPr>
        <w:t>转型发展</w:t>
      </w:r>
      <w:r>
        <w:rPr>
          <w:rFonts w:ascii="宋体" w:eastAsia="宋体" w:hAnsi="宋体" w:cs="宋体" w:hint="eastAsia"/>
          <w:color w:val="000000"/>
          <w:sz w:val="24"/>
          <w:szCs w:val="24"/>
        </w:rPr>
        <w:t>和山西扩大对外开放</w:t>
      </w:r>
      <w:r w:rsidRPr="00703CE7">
        <w:rPr>
          <w:rFonts w:ascii="宋体" w:eastAsia="宋体" w:hAnsi="宋体" w:cs="宋体" w:hint="eastAsia"/>
          <w:color w:val="000000"/>
          <w:sz w:val="24"/>
          <w:szCs w:val="24"/>
        </w:rPr>
        <w:t>建言献策，发挥</w:t>
      </w:r>
      <w:proofErr w:type="gramStart"/>
      <w:r w:rsidRPr="00703CE7">
        <w:rPr>
          <w:rFonts w:ascii="宋体" w:eastAsia="宋体" w:hAnsi="宋体" w:cs="宋体" w:hint="eastAsia"/>
          <w:color w:val="000000"/>
          <w:sz w:val="24"/>
          <w:szCs w:val="24"/>
        </w:rPr>
        <w:t>新型智库</w:t>
      </w:r>
      <w:proofErr w:type="gramEnd"/>
      <w:r w:rsidRPr="00703CE7">
        <w:rPr>
          <w:rFonts w:ascii="宋体" w:eastAsia="宋体" w:hAnsi="宋体" w:cs="宋体" w:hint="eastAsia"/>
          <w:color w:val="000000"/>
          <w:sz w:val="24"/>
          <w:szCs w:val="24"/>
        </w:rPr>
        <w:t>作用。</w:t>
      </w:r>
    </w:p>
    <w:p w14:paraId="5E60BB35" w14:textId="43D6C402" w:rsidR="00703CE7" w:rsidRPr="00703CE7" w:rsidRDefault="00703CE7" w:rsidP="00703CE7">
      <w:pPr>
        <w:snapToGrid w:val="0"/>
        <w:spacing w:line="520" w:lineRule="exact"/>
        <w:ind w:firstLineChars="200" w:firstLine="480"/>
        <w:rPr>
          <w:rFonts w:ascii="宋体" w:eastAsia="宋体" w:hAnsi="宋体" w:cs="宋体"/>
          <w:color w:val="000000"/>
          <w:sz w:val="24"/>
          <w:szCs w:val="24"/>
        </w:rPr>
      </w:pPr>
      <w:r w:rsidRPr="00703CE7">
        <w:rPr>
          <w:rFonts w:ascii="宋体" w:eastAsia="宋体" w:hAnsi="宋体" w:cs="宋体" w:hint="eastAsia"/>
          <w:color w:val="000000"/>
          <w:sz w:val="24"/>
          <w:szCs w:val="24"/>
        </w:rPr>
        <w:t>（3）力争在</w:t>
      </w:r>
      <w:r w:rsidR="000D437C">
        <w:rPr>
          <w:rFonts w:ascii="宋体" w:eastAsia="宋体" w:hAnsi="宋体" w:cs="宋体" w:hint="eastAsia"/>
          <w:color w:val="000000"/>
          <w:sz w:val="24"/>
          <w:szCs w:val="24"/>
        </w:rPr>
        <w:t>国内外学术</w:t>
      </w:r>
      <w:r w:rsidRPr="00703CE7">
        <w:rPr>
          <w:rFonts w:ascii="宋体" w:eastAsia="宋体" w:hAnsi="宋体" w:cs="宋体" w:hint="eastAsia"/>
          <w:color w:val="000000"/>
          <w:sz w:val="24"/>
          <w:szCs w:val="24"/>
        </w:rPr>
        <w:t>交流、合作办学上有新突破，</w:t>
      </w:r>
      <w:r w:rsidR="000D437C">
        <w:rPr>
          <w:rFonts w:ascii="宋体" w:eastAsia="宋体" w:hAnsi="宋体" w:cs="宋体" w:hint="eastAsia"/>
          <w:color w:val="000000"/>
          <w:sz w:val="24"/>
          <w:szCs w:val="24"/>
        </w:rPr>
        <w:t>加强与国内9</w:t>
      </w:r>
      <w:r w:rsidR="000D437C">
        <w:rPr>
          <w:rFonts w:ascii="宋体" w:eastAsia="宋体" w:hAnsi="宋体" w:cs="宋体"/>
          <w:color w:val="000000"/>
          <w:sz w:val="24"/>
          <w:szCs w:val="24"/>
        </w:rPr>
        <w:t>85</w:t>
      </w:r>
      <w:r w:rsidR="000D437C">
        <w:rPr>
          <w:rFonts w:ascii="宋体" w:eastAsia="宋体" w:hAnsi="宋体" w:cs="宋体" w:hint="eastAsia"/>
          <w:color w:val="000000"/>
          <w:sz w:val="24"/>
          <w:szCs w:val="24"/>
        </w:rPr>
        <w:t>高校的学术交流和联系，组织大规模学术会议1次，</w:t>
      </w:r>
      <w:r w:rsidRPr="00703CE7">
        <w:rPr>
          <w:rFonts w:ascii="宋体" w:eastAsia="宋体" w:hAnsi="宋体" w:cs="宋体" w:hint="eastAsia"/>
          <w:color w:val="000000"/>
          <w:sz w:val="24"/>
          <w:szCs w:val="24"/>
        </w:rPr>
        <w:t>与1-2所国外著名高校建立合作关系，不断提升学科的国际化水平，进一步提升人才培养的质量。</w:t>
      </w:r>
    </w:p>
    <w:p w14:paraId="3FFAB91F" w14:textId="77777777" w:rsidR="00703CE7" w:rsidRPr="00703CE7" w:rsidRDefault="00703CE7" w:rsidP="00703CE7">
      <w:pPr>
        <w:snapToGrid w:val="0"/>
        <w:spacing w:line="520" w:lineRule="exact"/>
        <w:ind w:firstLineChars="200" w:firstLine="482"/>
        <w:rPr>
          <w:rFonts w:ascii="宋体" w:eastAsia="宋体" w:hAnsi="宋体" w:cs="宋体"/>
          <w:b/>
          <w:bCs/>
          <w:sz w:val="24"/>
          <w:szCs w:val="24"/>
        </w:rPr>
      </w:pPr>
      <w:r w:rsidRPr="00703CE7">
        <w:rPr>
          <w:rFonts w:ascii="宋体" w:eastAsia="宋体" w:hAnsi="宋体" w:cs="宋体" w:hint="eastAsia"/>
          <w:b/>
          <w:bCs/>
          <w:sz w:val="24"/>
          <w:szCs w:val="24"/>
        </w:rPr>
        <w:t>2.保障措施</w:t>
      </w:r>
    </w:p>
    <w:p w14:paraId="109C9E13" w14:textId="0B993720" w:rsidR="00703CE7" w:rsidRPr="00703CE7" w:rsidRDefault="00703CE7" w:rsidP="00703CE7">
      <w:pPr>
        <w:snapToGrid w:val="0"/>
        <w:spacing w:line="520" w:lineRule="exact"/>
        <w:ind w:firstLineChars="200" w:firstLine="480"/>
        <w:rPr>
          <w:rFonts w:ascii="宋体" w:eastAsia="宋体" w:hAnsi="宋体" w:cs="宋体"/>
          <w:color w:val="000000"/>
          <w:sz w:val="24"/>
          <w:szCs w:val="24"/>
        </w:rPr>
      </w:pPr>
      <w:r w:rsidRPr="00703CE7">
        <w:rPr>
          <w:rFonts w:ascii="宋体" w:eastAsia="宋体" w:hAnsi="宋体" w:cs="宋体" w:hint="eastAsia"/>
          <w:color w:val="000000"/>
          <w:sz w:val="24"/>
          <w:szCs w:val="24"/>
        </w:rPr>
        <w:t>（1）积极引进和培养高层次领军人才，充分挖掘每位教师的科研潜力，按照相应职称与每位教师签订目标任务书，制定实质性的奖惩措施。设置专项教师成长基金，每年重点支持</w:t>
      </w:r>
      <w:r w:rsidR="009573A7">
        <w:rPr>
          <w:rFonts w:ascii="宋体" w:eastAsia="宋体" w:hAnsi="宋体" w:cs="宋体" w:hint="eastAsia"/>
          <w:color w:val="000000"/>
          <w:sz w:val="24"/>
          <w:szCs w:val="24"/>
        </w:rPr>
        <w:t>1</w:t>
      </w:r>
      <w:r w:rsidR="009573A7">
        <w:rPr>
          <w:rFonts w:ascii="宋体" w:eastAsia="宋体" w:hAnsi="宋体" w:cs="宋体"/>
          <w:color w:val="000000"/>
          <w:sz w:val="24"/>
          <w:szCs w:val="24"/>
        </w:rPr>
        <w:t>-</w:t>
      </w:r>
      <w:r w:rsidRPr="00703CE7">
        <w:rPr>
          <w:rFonts w:ascii="宋体" w:eastAsia="宋体" w:hAnsi="宋体" w:cs="宋体" w:hint="eastAsia"/>
          <w:color w:val="000000"/>
          <w:sz w:val="24"/>
          <w:szCs w:val="24"/>
        </w:rPr>
        <w:t>2名青年教师，每年择优支持</w:t>
      </w:r>
      <w:r w:rsidR="009573A7">
        <w:rPr>
          <w:rFonts w:ascii="宋体" w:eastAsia="宋体" w:hAnsi="宋体" w:cs="宋体"/>
          <w:color w:val="000000"/>
          <w:sz w:val="24"/>
          <w:szCs w:val="24"/>
        </w:rPr>
        <w:t>1-3</w:t>
      </w:r>
      <w:r w:rsidRPr="00703CE7">
        <w:rPr>
          <w:rFonts w:ascii="宋体" w:eastAsia="宋体" w:hAnsi="宋体" w:cs="宋体" w:hint="eastAsia"/>
          <w:color w:val="000000"/>
          <w:sz w:val="24"/>
          <w:szCs w:val="24"/>
        </w:rPr>
        <w:t>项国家项目后备项目。引进</w:t>
      </w:r>
      <w:r w:rsidR="009573A7">
        <w:rPr>
          <w:rFonts w:ascii="宋体" w:eastAsia="宋体" w:hAnsi="宋体" w:cs="宋体"/>
          <w:color w:val="000000"/>
          <w:sz w:val="24"/>
          <w:szCs w:val="24"/>
        </w:rPr>
        <w:t>1-2</w:t>
      </w:r>
      <w:r w:rsidRPr="00703CE7">
        <w:rPr>
          <w:rFonts w:ascii="宋体" w:eastAsia="宋体" w:hAnsi="宋体" w:cs="宋体" w:hint="eastAsia"/>
          <w:color w:val="000000"/>
          <w:sz w:val="24"/>
          <w:szCs w:val="24"/>
        </w:rPr>
        <w:t>名有影响力的学科带头人，支持青年教师脱颖而出，争取实现科研水平的明显提升。</w:t>
      </w:r>
    </w:p>
    <w:p w14:paraId="63690123" w14:textId="153D6495" w:rsidR="00703CE7" w:rsidRPr="00703CE7" w:rsidRDefault="00703CE7" w:rsidP="00703CE7">
      <w:pPr>
        <w:snapToGrid w:val="0"/>
        <w:spacing w:line="520" w:lineRule="exact"/>
        <w:ind w:firstLineChars="200" w:firstLine="480"/>
        <w:rPr>
          <w:rFonts w:ascii="宋体" w:eastAsia="宋体" w:hAnsi="宋体" w:cs="宋体"/>
          <w:color w:val="000000"/>
          <w:sz w:val="24"/>
          <w:szCs w:val="24"/>
        </w:rPr>
      </w:pPr>
      <w:r w:rsidRPr="00703CE7">
        <w:rPr>
          <w:rFonts w:ascii="宋体" w:eastAsia="宋体" w:hAnsi="宋体" w:cs="宋体" w:hint="eastAsia"/>
          <w:color w:val="000000"/>
          <w:sz w:val="24"/>
          <w:szCs w:val="24"/>
        </w:rPr>
        <w:t>（2）</w:t>
      </w:r>
      <w:r w:rsidR="00AE0D8B">
        <w:rPr>
          <w:rFonts w:ascii="宋体" w:eastAsia="宋体" w:hAnsi="宋体" w:cs="宋体" w:hint="eastAsia"/>
          <w:color w:val="000000"/>
          <w:sz w:val="24"/>
          <w:szCs w:val="24"/>
        </w:rPr>
        <w:t>加强与校内的外国语言文学和国际政治</w:t>
      </w:r>
      <w:r w:rsidRPr="00703CE7">
        <w:rPr>
          <w:rFonts w:ascii="宋体" w:eastAsia="宋体" w:hAnsi="宋体" w:cs="宋体" w:hint="eastAsia"/>
          <w:color w:val="000000"/>
          <w:sz w:val="24"/>
          <w:szCs w:val="24"/>
        </w:rPr>
        <w:t>学科</w:t>
      </w:r>
      <w:r w:rsidR="00AE0D8B">
        <w:rPr>
          <w:rFonts w:ascii="宋体" w:eastAsia="宋体" w:hAnsi="宋体" w:cs="宋体" w:hint="eastAsia"/>
          <w:color w:val="000000"/>
          <w:sz w:val="24"/>
          <w:szCs w:val="24"/>
        </w:rPr>
        <w:t>的横向联系</w:t>
      </w:r>
      <w:r w:rsidRPr="00703CE7">
        <w:rPr>
          <w:rFonts w:ascii="宋体" w:eastAsia="宋体" w:hAnsi="宋体" w:cs="宋体" w:hint="eastAsia"/>
          <w:color w:val="000000"/>
          <w:sz w:val="24"/>
          <w:szCs w:val="24"/>
        </w:rPr>
        <w:t>，</w:t>
      </w:r>
      <w:r w:rsidR="00AE0D8B">
        <w:rPr>
          <w:rFonts w:ascii="宋体" w:eastAsia="宋体" w:hAnsi="宋体" w:cs="宋体" w:hint="eastAsia"/>
          <w:color w:val="000000"/>
          <w:sz w:val="24"/>
          <w:szCs w:val="24"/>
        </w:rPr>
        <w:t>依托山西大学国际关系学院和山西对外开放研究院，开展区域与国别研究，</w:t>
      </w:r>
      <w:r w:rsidRPr="00703CE7">
        <w:rPr>
          <w:rFonts w:ascii="宋体" w:eastAsia="宋体" w:hAnsi="宋体" w:cs="宋体" w:hint="eastAsia"/>
          <w:color w:val="000000"/>
          <w:sz w:val="24"/>
          <w:szCs w:val="24"/>
        </w:rPr>
        <w:t>承接</w:t>
      </w:r>
      <w:r w:rsidR="00AE0D8B">
        <w:rPr>
          <w:rFonts w:ascii="宋体" w:eastAsia="宋体" w:hAnsi="宋体" w:cs="宋体" w:hint="eastAsia"/>
          <w:color w:val="000000"/>
          <w:sz w:val="24"/>
          <w:szCs w:val="24"/>
        </w:rPr>
        <w:t>国家和地方</w:t>
      </w:r>
      <w:r w:rsidRPr="00703CE7">
        <w:rPr>
          <w:rFonts w:ascii="宋体" w:eastAsia="宋体" w:hAnsi="宋体" w:cs="宋体" w:hint="eastAsia"/>
          <w:color w:val="000000"/>
          <w:sz w:val="24"/>
          <w:szCs w:val="24"/>
        </w:rPr>
        <w:t>重大规划项目，不断提高</w:t>
      </w:r>
      <w:r w:rsidR="00AE0D8B" w:rsidRPr="00AE0D8B">
        <w:rPr>
          <w:rFonts w:ascii="宋体" w:eastAsia="宋体" w:hAnsi="宋体" w:cs="宋体" w:hint="eastAsia"/>
          <w:b/>
          <w:bCs/>
          <w:color w:val="000000"/>
          <w:sz w:val="24"/>
          <w:szCs w:val="24"/>
        </w:rPr>
        <w:t>山西大学外向型学科</w:t>
      </w:r>
      <w:r w:rsidRPr="00703CE7">
        <w:rPr>
          <w:rFonts w:ascii="宋体" w:eastAsia="宋体" w:hAnsi="宋体" w:cs="宋体" w:hint="eastAsia"/>
          <w:color w:val="000000"/>
          <w:sz w:val="24"/>
          <w:szCs w:val="24"/>
        </w:rPr>
        <w:t>服务</w:t>
      </w:r>
      <w:r w:rsidR="00AE0D8B">
        <w:rPr>
          <w:rFonts w:ascii="宋体" w:eastAsia="宋体" w:hAnsi="宋体" w:cs="宋体" w:hint="eastAsia"/>
          <w:color w:val="000000"/>
          <w:sz w:val="24"/>
          <w:szCs w:val="24"/>
        </w:rPr>
        <w:t>国家和</w:t>
      </w:r>
      <w:r w:rsidRPr="00703CE7">
        <w:rPr>
          <w:rFonts w:ascii="宋体" w:eastAsia="宋体" w:hAnsi="宋体" w:cs="宋体" w:hint="eastAsia"/>
          <w:color w:val="000000"/>
          <w:sz w:val="24"/>
          <w:szCs w:val="24"/>
        </w:rPr>
        <w:t>地方社会的能力和水平。平台建设方面，进一步加大</w:t>
      </w:r>
      <w:r w:rsidR="00AE0D8B">
        <w:rPr>
          <w:rFonts w:ascii="宋体" w:eastAsia="宋体" w:hAnsi="宋体" w:cs="宋体" w:hint="eastAsia"/>
          <w:color w:val="000000"/>
          <w:sz w:val="24"/>
          <w:szCs w:val="24"/>
        </w:rPr>
        <w:t>外文</w:t>
      </w:r>
      <w:r w:rsidRPr="00703CE7">
        <w:rPr>
          <w:rFonts w:ascii="宋体" w:eastAsia="宋体" w:hAnsi="宋体" w:cs="宋体" w:hint="eastAsia"/>
          <w:color w:val="000000"/>
          <w:sz w:val="24"/>
          <w:szCs w:val="24"/>
        </w:rPr>
        <w:t>文献</w:t>
      </w:r>
      <w:r w:rsidR="00AE0D8B">
        <w:rPr>
          <w:rFonts w:ascii="宋体" w:eastAsia="宋体" w:hAnsi="宋体" w:cs="宋体" w:hint="eastAsia"/>
          <w:color w:val="000000"/>
          <w:sz w:val="24"/>
          <w:szCs w:val="24"/>
        </w:rPr>
        <w:t>资料</w:t>
      </w:r>
      <w:r w:rsidRPr="00703CE7">
        <w:rPr>
          <w:rFonts w:ascii="宋体" w:eastAsia="宋体" w:hAnsi="宋体" w:cs="宋体" w:hint="eastAsia"/>
          <w:color w:val="000000"/>
          <w:sz w:val="24"/>
          <w:szCs w:val="24"/>
        </w:rPr>
        <w:t>的建设力度，鼓励教师以</w:t>
      </w:r>
      <w:r w:rsidR="00AE0D8B">
        <w:rPr>
          <w:rFonts w:ascii="宋体" w:eastAsia="宋体" w:hAnsi="宋体" w:cs="宋体" w:hint="eastAsia"/>
          <w:color w:val="000000"/>
          <w:sz w:val="24"/>
          <w:szCs w:val="24"/>
        </w:rPr>
        <w:t>一手</w:t>
      </w:r>
      <w:r w:rsidR="006B7CDF">
        <w:rPr>
          <w:rFonts w:ascii="宋体" w:eastAsia="宋体" w:hAnsi="宋体" w:cs="宋体" w:hint="eastAsia"/>
          <w:color w:val="000000"/>
          <w:sz w:val="24"/>
          <w:szCs w:val="24"/>
        </w:rPr>
        <w:t>外文文献</w:t>
      </w:r>
      <w:r w:rsidRPr="00703CE7">
        <w:rPr>
          <w:rFonts w:ascii="宋体" w:eastAsia="宋体" w:hAnsi="宋体" w:cs="宋体" w:hint="eastAsia"/>
          <w:color w:val="000000"/>
          <w:sz w:val="24"/>
          <w:szCs w:val="24"/>
        </w:rPr>
        <w:lastRenderedPageBreak/>
        <w:t>为基础开展研究，争取在</w:t>
      </w:r>
      <w:r w:rsidR="006B7CDF">
        <w:rPr>
          <w:rFonts w:ascii="宋体" w:eastAsia="宋体" w:hAnsi="宋体" w:cs="宋体" w:hint="eastAsia"/>
          <w:color w:val="000000"/>
          <w:sz w:val="24"/>
          <w:szCs w:val="24"/>
        </w:rPr>
        <w:t>3</w:t>
      </w:r>
      <w:r w:rsidRPr="00703CE7">
        <w:rPr>
          <w:rFonts w:ascii="宋体" w:eastAsia="宋体" w:hAnsi="宋体" w:cs="宋体" w:hint="eastAsia"/>
          <w:color w:val="000000"/>
          <w:sz w:val="24"/>
          <w:szCs w:val="24"/>
        </w:rPr>
        <w:t>年内</w:t>
      </w:r>
      <w:r w:rsidR="006B7CDF">
        <w:rPr>
          <w:rFonts w:ascii="宋体" w:eastAsia="宋体" w:hAnsi="宋体" w:cs="宋体" w:hint="eastAsia"/>
          <w:color w:val="000000"/>
          <w:sz w:val="24"/>
          <w:szCs w:val="24"/>
        </w:rPr>
        <w:t>获批建设山西省人文社科重点研究基地1个</w:t>
      </w:r>
      <w:r w:rsidRPr="00703CE7">
        <w:rPr>
          <w:rFonts w:ascii="宋体" w:eastAsia="宋体" w:hAnsi="宋体" w:cs="宋体" w:hint="eastAsia"/>
          <w:color w:val="000000"/>
          <w:sz w:val="24"/>
          <w:szCs w:val="24"/>
        </w:rPr>
        <w:t>。</w:t>
      </w:r>
    </w:p>
    <w:p w14:paraId="4E5D8B6F" w14:textId="7D95A278" w:rsidR="00703CE7" w:rsidRPr="00703CE7" w:rsidRDefault="00703CE7" w:rsidP="00703CE7">
      <w:pPr>
        <w:snapToGrid w:val="0"/>
        <w:spacing w:line="520" w:lineRule="exact"/>
        <w:ind w:firstLineChars="200" w:firstLine="480"/>
        <w:rPr>
          <w:rFonts w:ascii="宋体" w:eastAsia="宋体" w:hAnsi="宋体" w:cs="宋体"/>
          <w:color w:val="000000"/>
          <w:sz w:val="24"/>
          <w:szCs w:val="24"/>
        </w:rPr>
      </w:pPr>
      <w:r w:rsidRPr="00703CE7">
        <w:rPr>
          <w:rFonts w:ascii="宋体" w:eastAsia="宋体" w:hAnsi="宋体" w:cs="宋体" w:hint="eastAsia"/>
          <w:color w:val="000000"/>
          <w:sz w:val="24"/>
          <w:szCs w:val="24"/>
        </w:rPr>
        <w:t>（3）积极</w:t>
      </w:r>
      <w:r w:rsidR="006B7CDF">
        <w:rPr>
          <w:rFonts w:ascii="宋体" w:eastAsia="宋体" w:hAnsi="宋体" w:cs="宋体" w:hint="eastAsia"/>
          <w:color w:val="000000"/>
          <w:sz w:val="24"/>
          <w:szCs w:val="24"/>
        </w:rPr>
        <w:t>拓展与</w:t>
      </w:r>
      <w:r w:rsidRPr="00703CE7">
        <w:rPr>
          <w:rFonts w:ascii="宋体" w:eastAsia="宋体" w:hAnsi="宋体" w:cs="宋体" w:hint="eastAsia"/>
          <w:color w:val="000000"/>
          <w:sz w:val="24"/>
          <w:szCs w:val="24"/>
        </w:rPr>
        <w:t>国内外高校和科研单位联系，建立稳定的合作关系。千方百计争取经费支持，设置</w:t>
      </w:r>
      <w:r w:rsidR="006B7CDF">
        <w:rPr>
          <w:rFonts w:ascii="宋体" w:eastAsia="宋体" w:hAnsi="宋体" w:cs="宋体" w:hint="eastAsia"/>
          <w:color w:val="000000"/>
          <w:sz w:val="24"/>
          <w:szCs w:val="24"/>
        </w:rPr>
        <w:t>世界</w:t>
      </w:r>
      <w:r w:rsidRPr="00703CE7">
        <w:rPr>
          <w:rFonts w:ascii="宋体" w:eastAsia="宋体" w:hAnsi="宋体" w:cs="宋体" w:hint="eastAsia"/>
          <w:color w:val="000000"/>
          <w:sz w:val="24"/>
          <w:szCs w:val="24"/>
        </w:rPr>
        <w:t>史学科研究生国内外交流奖学金。进一步完善研究生合作培养的相关管理配套制度，为不断提高研究生培养的国际化水平提供便利条件和制度保障。</w:t>
      </w:r>
    </w:p>
    <w:p w14:paraId="75BAF47E" w14:textId="77777777" w:rsidR="00703CE7" w:rsidRPr="00703CE7" w:rsidRDefault="00703CE7" w:rsidP="00703CE7">
      <w:pPr>
        <w:snapToGrid w:val="0"/>
        <w:spacing w:line="520" w:lineRule="exact"/>
        <w:ind w:firstLineChars="200" w:firstLine="480"/>
        <w:rPr>
          <w:rFonts w:ascii="宋体" w:eastAsia="宋体" w:hAnsi="宋体" w:cs="宋体"/>
          <w:color w:val="000000"/>
          <w:sz w:val="24"/>
          <w:szCs w:val="24"/>
        </w:rPr>
      </w:pPr>
    </w:p>
    <w:p w14:paraId="20427771" w14:textId="77777777" w:rsidR="00703CE7" w:rsidRPr="00703CE7" w:rsidRDefault="00703CE7" w:rsidP="00703CE7">
      <w:pPr>
        <w:snapToGrid w:val="0"/>
        <w:spacing w:line="520" w:lineRule="exact"/>
        <w:ind w:firstLineChars="200" w:firstLine="480"/>
        <w:rPr>
          <w:rFonts w:ascii="宋体" w:eastAsia="宋体" w:hAnsi="宋体" w:cs="宋体"/>
          <w:color w:val="000000"/>
          <w:sz w:val="24"/>
          <w:szCs w:val="24"/>
        </w:rPr>
      </w:pPr>
    </w:p>
    <w:p w14:paraId="30ECF2A8" w14:textId="77777777" w:rsidR="00703CE7" w:rsidRPr="00703CE7" w:rsidRDefault="00703CE7" w:rsidP="00703CE7">
      <w:pPr>
        <w:snapToGrid w:val="0"/>
        <w:spacing w:line="520" w:lineRule="exact"/>
        <w:ind w:firstLineChars="200" w:firstLine="480"/>
        <w:rPr>
          <w:rFonts w:ascii="宋体" w:eastAsia="宋体" w:hAnsi="宋体" w:cs="宋体"/>
          <w:color w:val="000000"/>
          <w:sz w:val="24"/>
          <w:szCs w:val="24"/>
        </w:rPr>
      </w:pPr>
    </w:p>
    <w:p w14:paraId="0D25F140" w14:textId="77777777" w:rsidR="00703CE7" w:rsidRPr="00703CE7" w:rsidRDefault="00703CE7" w:rsidP="00703CE7">
      <w:pPr>
        <w:snapToGrid w:val="0"/>
        <w:spacing w:line="520" w:lineRule="exact"/>
        <w:ind w:firstLineChars="200" w:firstLine="480"/>
        <w:rPr>
          <w:rFonts w:ascii="宋体" w:eastAsia="宋体" w:hAnsi="宋体" w:cs="宋体"/>
          <w:sz w:val="24"/>
          <w:szCs w:val="24"/>
        </w:rPr>
      </w:pPr>
    </w:p>
    <w:p w14:paraId="03A4CC0A" w14:textId="41925C55" w:rsidR="00703CE7" w:rsidRPr="00703CE7" w:rsidRDefault="00A656CC" w:rsidP="00703CE7">
      <w:pPr>
        <w:snapToGrid w:val="0"/>
        <w:spacing w:line="520" w:lineRule="exact"/>
        <w:ind w:firstLineChars="2700" w:firstLine="6480"/>
        <w:rPr>
          <w:rFonts w:ascii="宋体" w:eastAsia="宋体" w:hAnsi="宋体" w:cs="宋体"/>
          <w:sz w:val="24"/>
          <w:szCs w:val="24"/>
        </w:rPr>
      </w:pPr>
      <w:r>
        <w:rPr>
          <w:rFonts w:ascii="宋体" w:eastAsia="宋体" w:hAnsi="宋体" w:cs="宋体" w:hint="eastAsia"/>
          <w:sz w:val="24"/>
          <w:szCs w:val="24"/>
        </w:rPr>
        <w:t>世界</w:t>
      </w:r>
      <w:r w:rsidR="00703CE7" w:rsidRPr="00703CE7">
        <w:rPr>
          <w:rFonts w:ascii="宋体" w:eastAsia="宋体" w:hAnsi="宋体" w:cs="宋体" w:hint="eastAsia"/>
          <w:sz w:val="24"/>
          <w:szCs w:val="24"/>
        </w:rPr>
        <w:t>史学科</w:t>
      </w:r>
    </w:p>
    <w:p w14:paraId="6434606A" w14:textId="77777777" w:rsidR="00703CE7" w:rsidRPr="00703CE7" w:rsidRDefault="00703CE7" w:rsidP="00703CE7">
      <w:pPr>
        <w:snapToGrid w:val="0"/>
        <w:spacing w:line="520" w:lineRule="exact"/>
        <w:ind w:firstLineChars="2700" w:firstLine="6480"/>
        <w:rPr>
          <w:rFonts w:ascii="宋体" w:eastAsia="宋体" w:hAnsi="宋体" w:cs="宋体"/>
          <w:sz w:val="24"/>
          <w:szCs w:val="24"/>
        </w:rPr>
      </w:pPr>
    </w:p>
    <w:p w14:paraId="4863B8F8" w14:textId="77777777" w:rsidR="00703CE7" w:rsidRPr="00703CE7" w:rsidRDefault="00703CE7" w:rsidP="00703CE7">
      <w:pPr>
        <w:snapToGrid w:val="0"/>
        <w:spacing w:line="520" w:lineRule="exact"/>
        <w:ind w:firstLineChars="2800" w:firstLine="6720"/>
        <w:rPr>
          <w:rFonts w:ascii="宋体" w:eastAsia="宋体" w:hAnsi="宋体" w:cs="宋体"/>
          <w:sz w:val="24"/>
          <w:szCs w:val="24"/>
        </w:rPr>
      </w:pPr>
      <w:r w:rsidRPr="00703CE7">
        <w:rPr>
          <w:rFonts w:ascii="宋体" w:eastAsia="宋体" w:hAnsi="宋体" w:cs="宋体" w:hint="eastAsia"/>
          <w:sz w:val="24"/>
          <w:szCs w:val="24"/>
        </w:rPr>
        <w:t>2021.3.15</w:t>
      </w:r>
    </w:p>
    <w:p w14:paraId="72677382" w14:textId="77777777" w:rsidR="00E747C7" w:rsidRDefault="00E747C7" w:rsidP="00303EF9">
      <w:pPr>
        <w:rPr>
          <w:rFonts w:asciiTheme="minorEastAsia" w:hAnsiTheme="minorEastAsia"/>
          <w:sz w:val="28"/>
          <w:szCs w:val="28"/>
        </w:rPr>
      </w:pPr>
    </w:p>
    <w:p w14:paraId="45E24370" w14:textId="77777777" w:rsidR="0065518C" w:rsidRPr="00380BEF" w:rsidRDefault="0065518C" w:rsidP="00303EF9">
      <w:pPr>
        <w:rPr>
          <w:rFonts w:asciiTheme="minorEastAsia" w:hAnsiTheme="minorEastAsia"/>
          <w:sz w:val="28"/>
          <w:szCs w:val="28"/>
        </w:rPr>
      </w:pPr>
    </w:p>
    <w:p w14:paraId="1441FCC0" w14:textId="77777777" w:rsidR="0065518C" w:rsidRDefault="0065518C" w:rsidP="00303EF9">
      <w:pPr>
        <w:rPr>
          <w:rFonts w:asciiTheme="minorEastAsia" w:hAnsiTheme="minorEastAsia"/>
          <w:sz w:val="28"/>
          <w:szCs w:val="28"/>
        </w:rPr>
      </w:pPr>
    </w:p>
    <w:p w14:paraId="428A1C27" w14:textId="77777777" w:rsidR="0065518C" w:rsidRDefault="0065518C" w:rsidP="00303EF9">
      <w:pPr>
        <w:rPr>
          <w:rFonts w:asciiTheme="minorEastAsia" w:hAnsiTheme="minorEastAsia"/>
          <w:sz w:val="28"/>
          <w:szCs w:val="28"/>
        </w:rPr>
      </w:pPr>
    </w:p>
    <w:p w14:paraId="4766EC2B" w14:textId="77777777" w:rsidR="0065518C" w:rsidRDefault="0065518C" w:rsidP="00303EF9">
      <w:pPr>
        <w:rPr>
          <w:rFonts w:asciiTheme="minorEastAsia" w:hAnsiTheme="minorEastAsia"/>
          <w:sz w:val="28"/>
          <w:szCs w:val="28"/>
        </w:rPr>
      </w:pPr>
    </w:p>
    <w:p w14:paraId="527F0BF4" w14:textId="77777777" w:rsidR="0065518C" w:rsidRDefault="0065518C" w:rsidP="00303EF9">
      <w:pPr>
        <w:rPr>
          <w:rFonts w:asciiTheme="minorEastAsia" w:hAnsiTheme="minorEastAsia"/>
          <w:sz w:val="28"/>
          <w:szCs w:val="28"/>
        </w:rPr>
      </w:pPr>
    </w:p>
    <w:p w14:paraId="6EFA83C7" w14:textId="77777777" w:rsidR="0065518C" w:rsidRPr="0065518C" w:rsidRDefault="0065518C" w:rsidP="00303EF9">
      <w:pPr>
        <w:rPr>
          <w:rFonts w:asciiTheme="minorEastAsia" w:hAnsiTheme="minorEastAsia"/>
          <w:sz w:val="28"/>
          <w:szCs w:val="28"/>
        </w:rPr>
      </w:pPr>
    </w:p>
    <w:sectPr w:rsidR="0065518C" w:rsidRPr="0065518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37F48" w14:textId="77777777" w:rsidR="00A06115" w:rsidRDefault="00A06115" w:rsidP="004B4B68">
      <w:r>
        <w:separator/>
      </w:r>
    </w:p>
  </w:endnote>
  <w:endnote w:type="continuationSeparator" w:id="0">
    <w:p w14:paraId="6FA6632A" w14:textId="77777777" w:rsidR="00A06115" w:rsidRDefault="00A06115" w:rsidP="004B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058579"/>
      <w:docPartObj>
        <w:docPartGallery w:val="Page Numbers (Bottom of Page)"/>
        <w:docPartUnique/>
      </w:docPartObj>
    </w:sdtPr>
    <w:sdtContent>
      <w:p w14:paraId="229BE013" w14:textId="22A7903E" w:rsidR="005741D8" w:rsidRDefault="005741D8">
        <w:pPr>
          <w:pStyle w:val="a4"/>
          <w:jc w:val="center"/>
        </w:pPr>
        <w:r>
          <w:fldChar w:fldCharType="begin"/>
        </w:r>
        <w:r>
          <w:instrText>PAGE   \* MERGEFORMAT</w:instrText>
        </w:r>
        <w:r>
          <w:fldChar w:fldCharType="separate"/>
        </w:r>
        <w:r w:rsidRPr="005741D8">
          <w:rPr>
            <w:noProof/>
            <w:lang w:val="zh-CN"/>
          </w:rPr>
          <w:t>8</w:t>
        </w:r>
        <w:r>
          <w:fldChar w:fldCharType="end"/>
        </w:r>
      </w:p>
    </w:sdtContent>
  </w:sdt>
  <w:p w14:paraId="6DEF9AB3" w14:textId="77777777" w:rsidR="005741D8" w:rsidRDefault="005741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F19D3" w14:textId="77777777" w:rsidR="00A06115" w:rsidRDefault="00A06115" w:rsidP="004B4B68">
      <w:r>
        <w:separator/>
      </w:r>
    </w:p>
  </w:footnote>
  <w:footnote w:type="continuationSeparator" w:id="0">
    <w:p w14:paraId="448CE219" w14:textId="77777777" w:rsidR="00A06115" w:rsidRDefault="00A06115" w:rsidP="004B4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808DD"/>
    <w:multiLevelType w:val="hybridMultilevel"/>
    <w:tmpl w:val="0CF091F0"/>
    <w:lvl w:ilvl="0" w:tplc="1598E8E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4CB3865"/>
    <w:multiLevelType w:val="hybridMultilevel"/>
    <w:tmpl w:val="49661F50"/>
    <w:lvl w:ilvl="0" w:tplc="41B295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7A"/>
    <w:rsid w:val="000476A0"/>
    <w:rsid w:val="000D1BE2"/>
    <w:rsid w:val="000D437C"/>
    <w:rsid w:val="001602AE"/>
    <w:rsid w:val="00170E39"/>
    <w:rsid w:val="002870A2"/>
    <w:rsid w:val="002D6314"/>
    <w:rsid w:val="002E6976"/>
    <w:rsid w:val="00303EF9"/>
    <w:rsid w:val="00337AC3"/>
    <w:rsid w:val="00380BEF"/>
    <w:rsid w:val="003F06C5"/>
    <w:rsid w:val="004405CD"/>
    <w:rsid w:val="00457472"/>
    <w:rsid w:val="004B4B68"/>
    <w:rsid w:val="004E601E"/>
    <w:rsid w:val="004E64ED"/>
    <w:rsid w:val="00567715"/>
    <w:rsid w:val="005724CE"/>
    <w:rsid w:val="005741D8"/>
    <w:rsid w:val="005A273E"/>
    <w:rsid w:val="0065518C"/>
    <w:rsid w:val="006648C8"/>
    <w:rsid w:val="006B7CDF"/>
    <w:rsid w:val="006D4E7A"/>
    <w:rsid w:val="00703CE7"/>
    <w:rsid w:val="007B183F"/>
    <w:rsid w:val="007C1247"/>
    <w:rsid w:val="00837834"/>
    <w:rsid w:val="008577C8"/>
    <w:rsid w:val="009573A7"/>
    <w:rsid w:val="00961DE0"/>
    <w:rsid w:val="00967A78"/>
    <w:rsid w:val="00A06115"/>
    <w:rsid w:val="00A656CC"/>
    <w:rsid w:val="00AC1277"/>
    <w:rsid w:val="00AE0D8B"/>
    <w:rsid w:val="00B13B09"/>
    <w:rsid w:val="00B24893"/>
    <w:rsid w:val="00B3241A"/>
    <w:rsid w:val="00B70BB8"/>
    <w:rsid w:val="00BF1FBA"/>
    <w:rsid w:val="00C53241"/>
    <w:rsid w:val="00CA2F7F"/>
    <w:rsid w:val="00CE77AA"/>
    <w:rsid w:val="00D040B5"/>
    <w:rsid w:val="00D14D98"/>
    <w:rsid w:val="00D2029C"/>
    <w:rsid w:val="00DB3FCF"/>
    <w:rsid w:val="00E3342E"/>
    <w:rsid w:val="00E747C7"/>
    <w:rsid w:val="00EA56F7"/>
    <w:rsid w:val="00EB7165"/>
    <w:rsid w:val="00F15790"/>
    <w:rsid w:val="00F64B36"/>
    <w:rsid w:val="00F901DB"/>
    <w:rsid w:val="00FE6713"/>
    <w:rsid w:val="00FF2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113C7"/>
  <w15:docId w15:val="{57C3A4D7-F99D-47EE-97EB-1BD9A65E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4B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4B68"/>
    <w:rPr>
      <w:sz w:val="18"/>
      <w:szCs w:val="18"/>
    </w:rPr>
  </w:style>
  <w:style w:type="paragraph" w:styleId="a4">
    <w:name w:val="footer"/>
    <w:basedOn w:val="a"/>
    <w:link w:val="Char0"/>
    <w:uiPriority w:val="99"/>
    <w:unhideWhenUsed/>
    <w:rsid w:val="004B4B68"/>
    <w:pPr>
      <w:tabs>
        <w:tab w:val="center" w:pos="4153"/>
        <w:tab w:val="right" w:pos="8306"/>
      </w:tabs>
      <w:snapToGrid w:val="0"/>
      <w:jc w:val="left"/>
    </w:pPr>
    <w:rPr>
      <w:sz w:val="18"/>
      <w:szCs w:val="18"/>
    </w:rPr>
  </w:style>
  <w:style w:type="character" w:customStyle="1" w:styleId="Char0">
    <w:name w:val="页脚 Char"/>
    <w:basedOn w:val="a0"/>
    <w:link w:val="a4"/>
    <w:uiPriority w:val="99"/>
    <w:rsid w:val="004B4B68"/>
    <w:rPr>
      <w:sz w:val="18"/>
      <w:szCs w:val="18"/>
    </w:rPr>
  </w:style>
  <w:style w:type="paragraph" w:styleId="a5">
    <w:name w:val="List Paragraph"/>
    <w:basedOn w:val="a"/>
    <w:uiPriority w:val="34"/>
    <w:qFormat/>
    <w:rsid w:val="00E3342E"/>
    <w:pPr>
      <w:ind w:firstLineChars="200" w:firstLine="420"/>
    </w:pPr>
  </w:style>
  <w:style w:type="table" w:styleId="a6">
    <w:name w:val="Table Grid"/>
    <w:basedOn w:val="a1"/>
    <w:uiPriority w:val="59"/>
    <w:rsid w:val="004405C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8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8</Pages>
  <Words>796</Words>
  <Characters>4543</Characters>
  <Application>Microsoft Office Word</Application>
  <DocSecurity>0</DocSecurity>
  <Lines>37</Lines>
  <Paragraphs>10</Paragraphs>
  <ScaleCrop>false</ScaleCrop>
  <Company>Hewlett-Packard Company</Company>
  <LinksUpToDate>false</LinksUpToDate>
  <CharactersWithSpaces>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微软用户</cp:lastModifiedBy>
  <cp:revision>30</cp:revision>
  <dcterms:created xsi:type="dcterms:W3CDTF">2021-03-05T01:27:00Z</dcterms:created>
  <dcterms:modified xsi:type="dcterms:W3CDTF">2021-03-27T14:23:00Z</dcterms:modified>
</cp:coreProperties>
</file>